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9"/>
        <w:gridCol w:w="3069"/>
        <w:gridCol w:w="1259"/>
        <w:gridCol w:w="1116"/>
      </w:tblGrid>
      <w:tr w:rsidR="001C18A2">
        <w:trPr>
          <w:trHeight w:val="270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1C18A2">
            <w:pPr>
              <w:rPr>
                <w:sz w:val="24"/>
              </w:rPr>
            </w:pPr>
          </w:p>
        </w:tc>
      </w:tr>
      <w:tr w:rsidR="001C18A2">
        <w:trPr>
          <w:trHeight w:val="27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ПОЯСНИТЕЛЬНАЯ ЗАПИСКА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18A2" w:rsidRDefault="001C18A2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18A2" w:rsidRDefault="001C18A2">
            <w:pPr>
              <w:rPr>
                <w:sz w:val="24"/>
              </w:rPr>
            </w:pPr>
          </w:p>
        </w:tc>
      </w:tr>
      <w:tr w:rsidR="001C18A2">
        <w:trPr>
          <w:trHeight w:val="255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отчету об исполнении консолидированного бюджета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</w:t>
            </w:r>
          </w:p>
        </w:tc>
      </w:tr>
      <w:tr w:rsidR="001C18A2">
        <w:trPr>
          <w:trHeight w:val="282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18A2" w:rsidRDefault="001C18A2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0503360</w:t>
            </w:r>
          </w:p>
        </w:tc>
      </w:tr>
      <w:tr w:rsidR="001C18A2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                        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   1 января 2023 г.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Дата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01.01.2023</w:t>
            </w:r>
          </w:p>
        </w:tc>
      </w:tr>
      <w:tr w:rsidR="001C18A2">
        <w:trPr>
          <w:trHeight w:val="300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18A2">
        <w:trPr>
          <w:trHeight w:val="195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91233425</w:t>
            </w:r>
          </w:p>
        </w:tc>
      </w:tr>
      <w:tr w:rsidR="001C18A2">
        <w:trPr>
          <w:trHeight w:val="15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финансового органа Мурманская область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1C18A2">
            <w:pPr>
              <w:rPr>
                <w:sz w:val="16"/>
              </w:rPr>
            </w:pPr>
          </w:p>
        </w:tc>
      </w:tr>
      <w:tr w:rsidR="001C18A2">
        <w:trPr>
          <w:trHeight w:val="2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  </w:t>
            </w:r>
          </w:p>
          <w:p w:rsidR="001C18A2" w:rsidRDefault="000A6564" w:rsidP="00C05680">
            <w:pPr>
              <w:spacing w:line="22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бюджета </w:t>
            </w:r>
            <w:r w:rsidR="00C05680">
              <w:rPr>
                <w:rFonts w:ascii="Times New Roman" w:eastAsia="Times New Roman" w:hAnsi="Times New Roman" w:cs="Times New Roman"/>
                <w:sz w:val="20"/>
                <w:szCs w:val="20"/>
              </w:rPr>
              <w:t>Консолидированный бюджет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spacing w:line="22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47000000</w:t>
            </w:r>
          </w:p>
        </w:tc>
      </w:tr>
      <w:tr w:rsidR="001C18A2">
        <w:trPr>
          <w:trHeight w:val="315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Периодичность:   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месячная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18A2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по ОКЕИ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383</w:t>
            </w:r>
          </w:p>
        </w:tc>
      </w:tr>
      <w:tr w:rsidR="001C18A2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18A2" w:rsidRDefault="001C18A2">
            <w:pPr>
              <w:rPr>
                <w:sz w:val="24"/>
              </w:rPr>
            </w:pPr>
          </w:p>
        </w:tc>
      </w:tr>
      <w:tr w:rsidR="001C18A2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18A2" w:rsidRDefault="000A656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Годовой отчет об исполнении консолидированного бюджета Мурманской области за 2022 год составлена 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 (далее – Инструкция 191н), с учетом особенностей, предусмотренных совместными письмами Министерства финансов Российской Федерации и Федеральным казначейством от 12.12.2022 № 02-06-07/121658, № 07-04-05/02-31108 «О дополнительных критериях по раскрытию информации при составлении и представлении годовой бюджетной отчетности, годовой консолидированной бухгалтерской отчетности государственных (муниципальных) бюджетных и автономных учреждений финансовыми органами субъектов Российской Федерации и органами управления государственными внебюджетными фондами за 2022 год», от 05.03.2023 № 02-06-07/18159, 00-10-50-06/3167 «Об отражении в бюджетном учете и бюджетной отчетности 2022 года межтерриториальных расчетов прошлых лет по оказанной застрахованными лицами медицинской помощи, неурегулированных на 1 января 2023 года».</w:t>
      </w:r>
    </w:p>
    <w:p w:rsidR="001C18A2" w:rsidRDefault="000A6564">
      <w:pPr>
        <w:shd w:val="clear" w:color="auto" w:fill="FFFFFF"/>
        <w:ind w:firstLine="3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ind w:firstLine="3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ind w:firstLine="360"/>
        <w:jc w:val="center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1. Организационная структура субъекта бюджетной отчетности</w:t>
      </w:r>
    </w:p>
    <w:p w:rsidR="001C18A2" w:rsidRDefault="000A6564">
      <w:pPr>
        <w:shd w:val="clear" w:color="auto" w:fill="FFFFFF"/>
        <w:ind w:left="1140" w:firstLine="3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1C18A2" w:rsidRDefault="000A6564">
      <w:pPr>
        <w:shd w:val="clear" w:color="auto" w:fill="FFFFFF"/>
        <w:ind w:firstLine="3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Мурманская область входит в состав Северо-Западного федерального округа и состоит из 6 городских округов, 7 муниципальных округов и 4 муниципальных районов, в состав которых входит 19 поселений, в том числе 10 городских и 9 сельских. </w:t>
      </w:r>
    </w:p>
    <w:p w:rsidR="001C18A2" w:rsidRDefault="000A6564">
      <w:pPr>
        <w:shd w:val="clear" w:color="auto" w:fill="FFFFFF"/>
        <w:ind w:firstLine="3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Основными направлениями экономической политики субъекта РФ Мурманской области являются:</w:t>
      </w:r>
    </w:p>
    <w:p w:rsidR="001C18A2" w:rsidRDefault="000A6564">
      <w:pPr>
        <w:shd w:val="clear" w:color="auto" w:fill="FFFFFF"/>
        <w:ind w:firstLine="3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производства и предпринимательства с целью увеличения доходов населения, занятости, роста производства товаров и услуг, повышения их качества;</w:t>
      </w:r>
    </w:p>
    <w:p w:rsidR="001C18A2" w:rsidRDefault="000A6564">
      <w:pPr>
        <w:shd w:val="clear" w:color="auto" w:fill="FFFFFF"/>
        <w:ind w:firstLine="3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всех форм собственности и обеспечение конкуренции товаропроизводителей;</w:t>
      </w:r>
    </w:p>
    <w:p w:rsidR="001C18A2" w:rsidRDefault="000A6564">
      <w:pPr>
        <w:shd w:val="clear" w:color="auto" w:fill="FFFFFF"/>
        <w:ind w:firstLine="3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создание благоприятного инвестиционного климата и стимулирование инвестиций в экономику области, в том числе зарубежных;</w:t>
      </w:r>
    </w:p>
    <w:p w:rsidR="001C18A2" w:rsidRDefault="000A6564">
      <w:pPr>
        <w:shd w:val="clear" w:color="auto" w:fill="FFFFFF"/>
        <w:ind w:firstLine="3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приграничного сотрудничества, включая сотрудничество в Баренцевом Евро - Арктическом регионе;</w:t>
      </w:r>
    </w:p>
    <w:p w:rsidR="001C18A2" w:rsidRDefault="000A6564">
      <w:pPr>
        <w:shd w:val="clear" w:color="auto" w:fill="FFFFFF"/>
        <w:ind w:firstLine="3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защита отечественных товаропроизводителей; обеспечение экономической безопасности в условиях развития международной конкуренции;</w:t>
      </w:r>
    </w:p>
    <w:p w:rsidR="001C18A2" w:rsidRDefault="000A6564">
      <w:pPr>
        <w:shd w:val="clear" w:color="auto" w:fill="FFFFFF"/>
        <w:ind w:firstLine="1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протекционизм в развитии предприятий, имеющих областное и общегосударственное значение, обеспечение в них государственного влияния;</w:t>
      </w:r>
    </w:p>
    <w:p w:rsidR="001C18A2" w:rsidRDefault="000A6564">
      <w:pPr>
        <w:shd w:val="clear" w:color="auto" w:fill="FFFFFF"/>
        <w:ind w:firstLine="1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комплексное развитие всех отраслей экономики, повышение конкурентоспособности продукции;</w:t>
      </w:r>
    </w:p>
    <w:p w:rsidR="001C18A2" w:rsidRDefault="000A6564">
      <w:pPr>
        <w:shd w:val="clear" w:color="auto" w:fill="FFFFFF"/>
        <w:ind w:firstLine="1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обеспечение комплексной переработки добываемых в области природных ресурсов, внедрение ресурсосберегающих, безотходных и малоотходных технологий, освоение наукоемких производств;</w:t>
      </w:r>
    </w:p>
    <w:p w:rsidR="001C18A2" w:rsidRDefault="000A6564">
      <w:pPr>
        <w:shd w:val="clear" w:color="auto" w:fill="FFFFFF"/>
        <w:ind w:firstLine="1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развитие рыбного хозяйства,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марикультуры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аграрно-промышленного комплекса;</w:t>
      </w:r>
    </w:p>
    <w:p w:rsidR="001C18A2" w:rsidRDefault="000A6564">
      <w:pPr>
        <w:shd w:val="clear" w:color="auto" w:fill="FFFFFF"/>
        <w:ind w:firstLine="1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защита исконной среды обитания, традиционных образа жизни, хозяйствования и промыслов коренных народов Севера Российской Федерации;</w:t>
      </w:r>
    </w:p>
    <w:p w:rsidR="001C18A2" w:rsidRDefault="000A6564">
      <w:pPr>
        <w:shd w:val="clear" w:color="auto" w:fill="FFFFFF"/>
        <w:ind w:firstLine="1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повышение эффективности управления государственной собственностью Мурманской области.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Основные задачи субъекта Мурманской области:</w:t>
      </w:r>
    </w:p>
    <w:p w:rsidR="001C18A2" w:rsidRDefault="000A6564">
      <w:pPr>
        <w:shd w:val="clear" w:color="auto" w:fill="FFFFFF"/>
        <w:ind w:firstLine="1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Разработка и реализация единой государственной бюджетно-финансовой политики на территории области, в том числе обеспечение в пределах своих полномочий прозрачности (открытости) и публичности информации в сфере управления общественными финансами. </w:t>
      </w:r>
    </w:p>
    <w:p w:rsidR="001C18A2" w:rsidRDefault="000A6564">
      <w:pPr>
        <w:shd w:val="clear" w:color="auto" w:fill="FFFFFF"/>
        <w:ind w:firstLine="1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Разработка проекта областного бюджета, и организация его исполнения в установленном порядке, составление отчетов об исполнении областного бюджета и консолидированного бюджета Мурманской области. </w:t>
      </w:r>
    </w:p>
    <w:p w:rsidR="001C18A2" w:rsidRDefault="000A6564">
      <w:pPr>
        <w:shd w:val="clear" w:color="auto" w:fill="FFFFFF"/>
        <w:ind w:firstLine="1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Разработка и реализация программ государственных внутренних заимствований Мурманской области, разработка программ государственных гарантий Мурманской области в установленном порядке. </w:t>
      </w:r>
    </w:p>
    <w:p w:rsidR="001C18A2" w:rsidRDefault="000A6564">
      <w:pPr>
        <w:shd w:val="clear" w:color="auto" w:fill="FFFFFF"/>
        <w:ind w:firstLine="1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Концентрация финансовых ресурсов на приоритетных направлениях социально-экономического развития области и муниципальных образований Мурманской области, целевое финансирование потребностей регионального и межмуниципального уровня. </w:t>
      </w:r>
    </w:p>
    <w:p w:rsidR="001C18A2" w:rsidRDefault="000A6564">
      <w:pPr>
        <w:shd w:val="clear" w:color="auto" w:fill="FFFFFF"/>
        <w:ind w:firstLine="1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Участие в разработке предложений по привлечению в экономику области кредитных ресурсов и источникам их погашения. </w:t>
      </w:r>
    </w:p>
    <w:p w:rsidR="001C18A2" w:rsidRDefault="000A6564">
      <w:pPr>
        <w:shd w:val="clear" w:color="auto" w:fill="FFFFFF"/>
        <w:ind w:firstLine="1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6. Совершенствование бюджетного процесса в Мурманской области, методов финансового и бюджетного планирования, финансирования и отчетности на территории области. </w:t>
      </w:r>
    </w:p>
    <w:p w:rsidR="001C18A2" w:rsidRDefault="000A6564">
      <w:pPr>
        <w:shd w:val="clear" w:color="auto" w:fill="FFFFFF"/>
        <w:ind w:firstLine="1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 Осуществление в пределах своих полномочий государственного финансового контроля. 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Мурманской области в рамках соблюдения принципа прозрачности (открытости), установленного статьями 28 и 36 Бюджетного кодекса Российской Федерации, на постоянной основе осуществляются обеспечение прозрачности (открытости) бюджетов и бюджетного процесса Мурманской области.</w:t>
      </w:r>
    </w:p>
    <w:p w:rsidR="001C18A2" w:rsidRDefault="000A6564">
      <w:pPr>
        <w:shd w:val="clear" w:color="auto" w:fill="FFFFFF"/>
        <w:ind w:firstLine="1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</w:rPr>
        <w:t>  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2. Результаты деятельности субъекта бюджетной отчетности.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C18A2" w:rsidRDefault="000A6564">
      <w:pPr>
        <w:jc w:val="center"/>
        <w:outlineLvl w:val="2"/>
        <w:rPr>
          <w:rFonts w:ascii="Courier New" w:eastAsia="Courier New" w:hAnsi="Courier New" w:cs="Courier New"/>
          <w:b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Динамика основных параметров консолидированного бюджета</w:t>
      </w:r>
    </w:p>
    <w:p w:rsidR="001C18A2" w:rsidRDefault="000A6564">
      <w:pPr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Мурманской области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консолидированного бюджета Мурманской области с 2018 по 2022 год характеризуется следующими данными: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 консолидированного бюджета за вышеуказанный период увеличились в 1,6 раза;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расходы консолидированного бюджета увеличились в 1,9 раза;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государственный долг Мурманской области увеличился с 18,8 млрд рублей до 20,3 млрд рублей, муниципальный долг снизился с 4,3 млрд рублей до 3,8 млрд рублей.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</w:rPr>
        <w:lastRenderedPageBreak/>
        <w:drawing>
          <wp:inline distT="0" distB="0" distL="0" distR="0">
            <wp:extent cx="6315075" cy="5524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552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18A2" w:rsidRDefault="000A6564">
      <w:pPr>
        <w:shd w:val="clear" w:color="auto" w:fill="FFFFFF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Дефицит (-) /       Профицит (+)</w:t>
      </w:r>
    </w:p>
    <w:p w:rsidR="001C18A2" w:rsidRDefault="000A6564">
      <w:pPr>
        <w:shd w:val="clear" w:color="auto" w:fill="FFFFFF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</w:rPr>
        <w:drawing>
          <wp:inline distT="0" distB="0" distL="0" distR="0">
            <wp:extent cx="123825" cy="114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4"/>
        </w:rPr>
        <w:drawing>
          <wp:inline distT="0" distB="0" distL="0" distR="0">
            <wp:extent cx="123825" cy="114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Рисунок 1.  Динамика основных параметров консолидированного бюджета </w:t>
      </w:r>
    </w:p>
    <w:p w:rsidR="001C18A2" w:rsidRDefault="000A6564">
      <w:pPr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</w:rPr>
        <w:t>Мурманской области, млн рублей</w:t>
      </w:r>
    </w:p>
    <w:p w:rsidR="001C18A2" w:rsidRDefault="000A6564">
      <w:pPr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консолидированного бюджета Мурманской области в 2021 году с профицитом в размере 18 258,7 млн рублей обусловлено дополнительными поступлениями по налогу на прибыль организаций в основном по причине увеличения платежей от крупных предприятий Мурманской области в связи с ростом цен на производимую продукцию, а также в связи с перечислением крупнейшим налогоплательщиком региона налога по результатам деятельности за 2020 год.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Дефицит консолидированного бюджета Мурманской области в 2022 году составил 25 812,2 млн рублей и сложился в основном за счет дефицита областного бюджета в размере 24 889,2 млн рублей. С учетом корректировки на сумму изменения остатков средств на счете бюджета дефицит областного бюджета не превысил 10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  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суммы доходов областного бюджета без учета безвозмездных поступлений за 2022 год. Таким образом, обеспечено соблюдение условий дополнительных соглашений, заключенных с Министерством финансов Российской Федерации, о реструктуризации бюджетных кредитов, полученных из федерального бюджета. </w:t>
      </w:r>
    </w:p>
    <w:p w:rsidR="001C18A2" w:rsidRDefault="000A6564">
      <w:pPr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</w:rPr>
        <w:t> </w:t>
      </w:r>
    </w:p>
    <w:p w:rsidR="001C18A2" w:rsidRDefault="000A6564">
      <w:pPr>
        <w:numPr>
          <w:ilvl w:val="1"/>
          <w:numId w:val="1"/>
        </w:numPr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источники формирования доходной части бюджета</w:t>
      </w:r>
    </w:p>
    <w:p w:rsidR="001C18A2" w:rsidRDefault="000A6564">
      <w:pPr>
        <w:ind w:left="720"/>
        <w:outlineLvl w:val="2"/>
        <w:rPr>
          <w:rFonts w:ascii="Courier New" w:eastAsia="Courier New" w:hAnsi="Courier New" w:cs="Courier New"/>
          <w:b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Структура доходов консолидированного бюджета Мурманской области за 2022 год представлена на рисунке 2. 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</w:rPr>
        <w:drawing>
          <wp:inline distT="0" distB="0" distL="0" distR="0">
            <wp:extent cx="5934075" cy="2838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2838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</w:rPr>
        <w:lastRenderedPageBreak/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структуре доходов консолидированного бюджета Мурманской области за 2022 год наибольшую долю в поступлениях доходов занимают налог на доходы физических лиц и налог на прибыль организаций.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Мурманская область является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экспортно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ориентированным регионом: промышленный сектор, его горнодобывающая, металлургическая и энергетическая составляющие обеспечивают основные налоговые поступления в региональный бюджет.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2022 году, как и в предыдущие годы, поступление налоговых и неналоговых доходов бюджета региона существенно зависело от результатов деятельности крупнейших налогоплательщиков, занимающихся добычей, переработкой и транспортировкой полезных ископаемых, производством минеральных удобрений и предприятий топливно-энергетического комплекса.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Динамика поступлений в консолидированный бюджет Мурманской области за период с 2018 по 2022 год представлена:</w:t>
      </w:r>
    </w:p>
    <w:p w:rsidR="001C18A2" w:rsidRDefault="000A6564">
      <w:pPr>
        <w:ind w:firstLine="700"/>
        <w:jc w:val="right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млн рублей</w:t>
      </w:r>
    </w:p>
    <w:tbl>
      <w:tblPr>
        <w:tblW w:w="9360" w:type="dxa"/>
        <w:tblInd w:w="62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6"/>
        <w:gridCol w:w="1135"/>
        <w:gridCol w:w="992"/>
        <w:gridCol w:w="992"/>
        <w:gridCol w:w="992"/>
        <w:gridCol w:w="993"/>
      </w:tblGrid>
      <w:tr w:rsidR="001C18A2">
        <w:trPr>
          <w:trHeight w:val="317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2022 </w:t>
            </w:r>
          </w:p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2021</w:t>
            </w:r>
          </w:p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2020</w:t>
            </w:r>
          </w:p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2" w:type="dxa"/>
              <w:bottom w:w="57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2019</w:t>
            </w:r>
          </w:p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год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2" w:type="dxa"/>
              <w:bottom w:w="57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2018</w:t>
            </w:r>
          </w:p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год</w:t>
            </w:r>
          </w:p>
        </w:tc>
      </w:tr>
      <w:tr w:rsidR="001C18A2">
        <w:trPr>
          <w:trHeight w:val="994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28" w:type="dxa"/>
              <w:bottom w:w="102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Общий объем доходов консолидированного бюджета, всего, </w:t>
            </w:r>
          </w:p>
          <w:p w:rsidR="001C18A2" w:rsidRDefault="000A6564">
            <w:pPr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128 921,9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141 990,2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108 196,6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101 783,9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81 971,4</w:t>
            </w:r>
          </w:p>
        </w:tc>
      </w:tr>
      <w:tr w:rsidR="001C18A2">
        <w:trPr>
          <w:trHeight w:val="643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28" w:type="dxa"/>
              <w:bottom w:w="102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Налоговые и неналоговые доходы, всего, </w:t>
            </w:r>
          </w:p>
          <w:p w:rsidR="001C18A2" w:rsidRDefault="000A6564">
            <w:pPr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 них: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108 678,2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123 127,6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90 216,8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87 274,6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73 015,8</w:t>
            </w:r>
          </w:p>
        </w:tc>
      </w:tr>
      <w:tr w:rsidR="001C18A2">
        <w:trPr>
          <w:trHeight w:val="543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28" w:type="dxa"/>
              <w:bottom w:w="102" w:type="dxa"/>
              <w:right w:w="28" w:type="dxa"/>
            </w:tcMar>
            <w:vAlign w:val="center"/>
            <w:hideMark/>
          </w:tcPr>
          <w:p w:rsidR="001C18A2" w:rsidRDefault="000A6564">
            <w:pPr>
              <w:ind w:left="5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Налог на прибыль организаций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39 534,7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56 782,9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31 833,2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33 542,2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21 563,9</w:t>
            </w:r>
          </w:p>
        </w:tc>
      </w:tr>
      <w:tr w:rsidR="001C18A2">
        <w:trPr>
          <w:trHeight w:val="497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28" w:type="dxa"/>
              <w:bottom w:w="102" w:type="dxa"/>
              <w:right w:w="28" w:type="dxa"/>
            </w:tcMar>
            <w:vAlign w:val="center"/>
            <w:hideMark/>
          </w:tcPr>
          <w:p w:rsidR="001C18A2" w:rsidRDefault="000A6564">
            <w:pPr>
              <w:ind w:left="5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45 518,6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45 280,5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39 323,3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34 198,7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32 803,2</w:t>
            </w:r>
          </w:p>
        </w:tc>
      </w:tr>
      <w:tr w:rsidR="001C18A2">
        <w:trPr>
          <w:trHeight w:val="479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28" w:type="dxa"/>
              <w:bottom w:w="102" w:type="dxa"/>
              <w:right w:w="28" w:type="dxa"/>
            </w:tcMar>
            <w:vAlign w:val="center"/>
            <w:hideMark/>
          </w:tcPr>
          <w:p w:rsidR="001C18A2" w:rsidRDefault="000A6564">
            <w:pPr>
              <w:ind w:left="5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Налог на имущество организаций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3 219,8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4 114,4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5 475,6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5 683,8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6 016,2</w:t>
            </w:r>
          </w:p>
        </w:tc>
      </w:tr>
      <w:tr w:rsidR="001C18A2">
        <w:trPr>
          <w:trHeight w:val="645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28" w:type="dxa"/>
              <w:bottom w:w="102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Безвозмездные поступления, всего,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из них: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20 243,7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18 862,6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17 979,9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14 509,3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8 955,6</w:t>
            </w:r>
          </w:p>
        </w:tc>
      </w:tr>
      <w:tr w:rsidR="001C18A2">
        <w:trPr>
          <w:trHeight w:val="1068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28" w:type="dxa"/>
              <w:bottom w:w="102" w:type="dxa"/>
              <w:right w:w="28" w:type="dxa"/>
            </w:tcMar>
            <w:vAlign w:val="center"/>
            <w:hideMark/>
          </w:tcPr>
          <w:p w:rsidR="001C18A2" w:rsidRDefault="000A6564">
            <w:pPr>
              <w:ind w:left="26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17 778,7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17 755,6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16 577,1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13 039,6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8 634,2</w:t>
            </w:r>
          </w:p>
        </w:tc>
      </w:tr>
      <w:tr w:rsidR="001C18A2">
        <w:trPr>
          <w:trHeight w:val="609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28" w:type="dxa"/>
              <w:bottom w:w="102" w:type="dxa"/>
              <w:right w:w="28" w:type="dxa"/>
            </w:tcMar>
            <w:vAlign w:val="center"/>
            <w:hideMark/>
          </w:tcPr>
          <w:p w:rsidR="001C18A2" w:rsidRDefault="000A6564">
            <w:pPr>
              <w:ind w:left="5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2 054,7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1 974,1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3 660,6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6 067,3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5 931,3</w:t>
            </w:r>
          </w:p>
        </w:tc>
      </w:tr>
      <w:tr w:rsidR="001C18A2">
        <w:trPr>
          <w:trHeight w:val="639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28" w:type="dxa"/>
              <w:bottom w:w="102" w:type="dxa"/>
              <w:right w:w="28" w:type="dxa"/>
            </w:tcMar>
            <w:vAlign w:val="center"/>
            <w:hideMark/>
          </w:tcPr>
          <w:p w:rsidR="001C18A2" w:rsidRDefault="000A6564">
            <w:pPr>
              <w:ind w:left="5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9 686,4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6 882,6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6 223,9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2 404,7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663,8</w:t>
            </w:r>
          </w:p>
        </w:tc>
      </w:tr>
      <w:tr w:rsidR="001C18A2">
        <w:trPr>
          <w:trHeight w:val="651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28" w:type="dxa"/>
              <w:bottom w:w="102" w:type="dxa"/>
              <w:right w:w="28" w:type="dxa"/>
            </w:tcMar>
            <w:vAlign w:val="center"/>
            <w:hideMark/>
          </w:tcPr>
          <w:p w:rsidR="001C18A2" w:rsidRDefault="000A6564">
            <w:pPr>
              <w:ind w:left="5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2 562,5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2 808,3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3 037,4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1 943,8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1 614,1</w:t>
            </w:r>
          </w:p>
        </w:tc>
      </w:tr>
      <w:tr w:rsidR="001C18A2">
        <w:trPr>
          <w:trHeight w:val="357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28" w:type="dxa"/>
              <w:bottom w:w="102" w:type="dxa"/>
              <w:right w:w="28" w:type="dxa"/>
            </w:tcMar>
            <w:vAlign w:val="center"/>
            <w:hideMark/>
          </w:tcPr>
          <w:p w:rsidR="001C18A2" w:rsidRDefault="000A6564">
            <w:pPr>
              <w:ind w:left="5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3 475,1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6 090,6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3 655,2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2 623,9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425,1</w:t>
            </w:r>
          </w:p>
        </w:tc>
      </w:tr>
      <w:tr w:rsidR="001C18A2">
        <w:trPr>
          <w:trHeight w:val="1533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28" w:type="dxa"/>
              <w:bottom w:w="102" w:type="dxa"/>
              <w:right w:w="28" w:type="dxa"/>
            </w:tcMar>
            <w:vAlign w:val="center"/>
            <w:hideMark/>
          </w:tcPr>
          <w:p w:rsidR="001C18A2" w:rsidRDefault="000A6564">
            <w:pPr>
              <w:ind w:left="26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1 638,6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349,7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410,9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1C18A2">
        <w:trPr>
          <w:trHeight w:val="1458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28" w:type="dxa"/>
              <w:bottom w:w="102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Доля безвозмездных поступлений от других бюджетов бюджетной системы Российской Федерации в общем объеме доходов консолидированного бюджета Мурманской области, 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13,8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10,5</w:t>
            </w:r>
          </w:p>
        </w:tc>
      </w:tr>
    </w:tbl>
    <w:p w:rsidR="001C18A2" w:rsidRDefault="000A6564">
      <w:pPr>
        <w:ind w:left="720"/>
        <w:outlineLvl w:val="2"/>
        <w:rPr>
          <w:rFonts w:ascii="Courier New" w:eastAsia="Courier New" w:hAnsi="Courier New" w:cs="Courier New"/>
          <w:b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1C18A2" w:rsidRDefault="000A6564">
      <w:pPr>
        <w:ind w:left="720"/>
        <w:outlineLvl w:val="2"/>
        <w:rPr>
          <w:rFonts w:ascii="Courier New" w:eastAsia="Courier New" w:hAnsi="Courier New" w:cs="Courier New"/>
          <w:b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1C18A2" w:rsidRDefault="000A6564">
      <w:pPr>
        <w:numPr>
          <w:ilvl w:val="1"/>
          <w:numId w:val="2"/>
        </w:numPr>
        <w:ind w:left="7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направления расходования бюджетных средств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Значительную (более 2/3 общего объема) часть расходов консолидированного бюджета Мурманской области за 2022 год занимают бюджетные ассигнования на: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образование – 26,3 % расходов;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жилищно-коммунальное 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хозяйство – 17,5 % расходов;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социальную политику – 14,7 % расходов;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здравоохранение – 13,4 % расходов.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</w:rPr>
        <w:lastRenderedPageBreak/>
        <w:drawing>
          <wp:inline distT="0" distB="0" distL="0" distR="0">
            <wp:extent cx="5391150" cy="27051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2705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Распределение расходов консолидированного бюджета Мурманской области за период с 2018 по 2022 год по видам расходов сложилось в следующих пропорциях: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доля расходов на выплату заработной платы и начислений на нее (с учетом государственных и муниципальных учреждений) – 33,3 % в 2022 году (42,4 % в 2018 году);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доля расходов на социальное обеспечение, включая расходы на обязательное медицинское страхование неработающего населения, – 16,1 % в 2022 году (20,4 % в 2018 году);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доля расходов на закупку товаров, работ и услуг для обеспечения государственных (муниципальных) нужд – 10,6 % в 2022 году (7,7 % в 2018 году);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доля расходов на капитальные вложения в объекты государственной (муниципальной) собственности – 5,6 % в 2022 году (2,4% в 2018 году);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доля прочих расходов – 34,4 % в 2022 году (27,1 % в 2018 году).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Среди ключевых причин роста объема социально ориентированных расходов бюджета следует выделить: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достижение (сохранение) значений показателей заработной платы отдельных категорий работников, установленных указами Президента Российской Федерации, в связи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изменением в сторону увеличения прогноза среднемесячного дохода от трудовой деятельности в Мурманской области от ранее прогнозируемых значений;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индексацию расходов на оплату труда работников государственных и муниципальных учреждений в соответствии с прогнозным уровнем инфляции в Российской Федерации;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индексацию социальных выплат, публичных нормативных выплат населению и социальной помощи отдельным категориям граждан в части оплаты жилья и коммунальных услуг. 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Следует отметить, что значительно увеличился объем расходов на капитальные вложения в объекты государственной (муниципальной) собственности за период с 2018 по 2022 годы. Это обусловлено в том числе началом реализации с 2019 года региональных проектов, входящих в состав приоритетных национальных проектов (программы), а также направлением дополнительных средств на развитие региона. В 2022 году объем расходов на капитальные вложения в объекты государственной (муниципальной) собственности составил 8 676,5 млн рублей, или  5,6 % от общего объема расходов консолидированного бюджета Мурманской области, и сложился в основном за счет направления средств на реализацию региональных проектов, входящих в состав национальных проектов «Здравоохранение», «Образование», «Жилье и городская среда», «Демография», «Безопасные качественные дороги», а также на проведение капитальных ремонтов.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ind w:firstLine="28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Анализ отчета об исполнении бюджета субъектом бюджетной отчетности.</w:t>
      </w:r>
    </w:p>
    <w:p w:rsidR="001C18A2" w:rsidRDefault="000A6564">
      <w:pPr>
        <w:ind w:firstLine="54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параметры исполнения консолидированного бюджета Мурманской области за 2022 год</w:t>
      </w:r>
    </w:p>
    <w:p w:rsidR="001C18A2" w:rsidRDefault="000A6564">
      <w:pPr>
        <w:ind w:firstLine="700"/>
        <w:jc w:val="right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млн рублей</w:t>
      </w:r>
    </w:p>
    <w:tbl>
      <w:tblPr>
        <w:tblW w:w="978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2553"/>
        <w:gridCol w:w="2269"/>
        <w:gridCol w:w="1702"/>
      </w:tblGrid>
      <w:tr w:rsidR="001C18A2">
        <w:tc>
          <w:tcPr>
            <w:tcW w:w="32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Показатели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Исполнение за 2021 год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Исполнение за 2022 год</w:t>
            </w:r>
          </w:p>
        </w:tc>
      </w:tr>
      <w:tr w:rsidR="001C18A2">
        <w:trPr>
          <w:trHeight w:val="452"/>
        </w:trPr>
        <w:tc>
          <w:tcPr>
            <w:tcW w:w="32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Консолидированный бюджет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Консолидированный бюджет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% от исполнения 2021 года</w:t>
            </w:r>
          </w:p>
        </w:tc>
      </w:tr>
      <w:tr w:rsidR="001C18A2"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Доходы,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всего,  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том числе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141 990,2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128 921,9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90,8</w:t>
            </w:r>
          </w:p>
        </w:tc>
      </w:tr>
      <w:tr w:rsidR="001C18A2">
        <w:trPr>
          <w:trHeight w:val="318"/>
        </w:trPr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Налоговые и неналоговые доходы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123 127,6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108 678,2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88,3</w:t>
            </w:r>
          </w:p>
        </w:tc>
      </w:tr>
      <w:tr w:rsidR="001C18A2">
        <w:trPr>
          <w:trHeight w:val="214"/>
        </w:trPr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Безвозмездные поступления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18 862,6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20 243,7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107,3</w:t>
            </w:r>
          </w:p>
        </w:tc>
      </w:tr>
      <w:tr w:rsidR="001C18A2"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Расходы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123 731,4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154 734,1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125,1</w:t>
            </w:r>
          </w:p>
        </w:tc>
      </w:tr>
      <w:tr w:rsidR="001C18A2"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Дефицит(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-)/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Профицит(+)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18 258,7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-25 812,2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</w:tr>
      <w:tr w:rsidR="001C18A2"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Государственный долг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12 441,5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20 284,9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163,0</w:t>
            </w:r>
          </w:p>
        </w:tc>
      </w:tr>
      <w:tr w:rsidR="001C18A2">
        <w:tc>
          <w:tcPr>
            <w:tcW w:w="3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Муниципальный долг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4 304,3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3 801,0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88,3</w:t>
            </w:r>
          </w:p>
        </w:tc>
      </w:tr>
    </w:tbl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консолидированного бюджета за 2022 год характеризуется следующими данными: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доходам - 128 921,9 млн рублей, или 90,8 % по сравнению с исполнением за 2021 год;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расходам - 154 734,1 млн рублей, или 125,1 % по сравнению с исполнением за 2021 год.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Консолидированный бюджет Мурманской области за 2022 год исполнен с дефицитом в размере 25 812,2 млн рублей.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01.01.2023 государственный долг Мурманской области вырос до 20 284,9 млн рублей, или в 1,6 раза по отношению к 2021 году, муниципальный долг снизился до 3 801,0 млн рублей, или на 11,7 % по отношению к 2021 году.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факторами, оказавшими влияние на снижение доходов консолидированного бюджета Мурманской области в 2022 году по сравнению с 2021 годом, являются: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по налогу на прибыль организаций - уменьшение платежей от крупных налогоплательщиков региона, включая участников консолидированных групп налогоплательщиков, что обусловлено изменением налогового законодательства Российской Федерации в части учета курсовых разниц (с 2022 года при расчете налога учитываются только отрицательные курсовые разницы, которые уменьшают налогооблагаемую базу); использованием налогоплательщиками права на применение  инвестиционного налогового вычета, произведенными возвратами из бюджета налога за предыдущие налоговые периоды на основании уточненных налоговых деклараций; изменением курса национальной валюты и цен на производимую продукцию;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налогу на имущество организаций - проведение крупными налогоплательщиками зачета переплаты, сложившейся за предыдущие налоговые периоды, в счет авансовых платежей 2022 года.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причинами увеличения расходной части консолидированного бюджета Мурманской области в 2022 году стали: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увеличение объемов бюджетных ассигнований, направленных на реализацию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региональных  проектов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реализуемых в рамках национальных проектов (программы); 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увеличение объемов бюджетных ассигнований, формирующих фонды оплаты труда и начисления на оплату труда работников государственных (муниципальных) учреждений, в том числе работников учреждений бюджетной сферы, с целью сохранения достигнутых результатов реализации указов Президента Российской Федерации; 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увеличение объема бюджетных ассигнований на социальные выплаты гражданам; 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индексация расходов на оплату коммунальных услуг и размера социальных выплат; 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направление дополнительных средств на строительство и капитальные ремонты объектов государственной и муниципальной собственности, в том числе в связи с удорожанием стоимости строительных материалов; 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финансовое обеспечение мероприятий, связанных с влиянием (предотвращением влияния) ухудшения экономической и геополитической ситуации.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 2022 год объем государственного долга Мурманской области по сравнению с 2021 годом увеличился на 7 843,4 млн рублей и составил 20 284,9 млн рублей. 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Вместе с тем по итогам 2022 года Мурманская область относится к группе регионов с высокой долговой устойчивостью.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Отношение объема государственного долга Мурманской области к общему годовому объему доходов (без учета безвозмездных поступлений) по состоянию на 1 января 2023 года составило 24 %. 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объема государственного долга Мурманской области по состоянию на 01.01.2023 обусловлено снижением доходной части областного бюджета по налогу на прибыль организаций, в основном в связи с изменением федерального законодательства в части учета отрицательных курсовых разниц. 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структуре государственного долга Мурманской области основную долю занимают бюджетные кредиты, полученные от других бюджетов бюджетной системы Российской Федерации, доля которых в 2022 году по сравнению с 2021 годом снизилась и составила 61,5 %, доля кредитов, полученных от кредитных организаций, составила 30,6 %, доля государственных гарантий Мурманской области – 7,9 %. </w:t>
      </w:r>
    </w:p>
    <w:p w:rsidR="001C18A2" w:rsidRDefault="000A6564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1C18A2" w:rsidRDefault="000A6564">
      <w:pPr>
        <w:shd w:val="clear" w:color="auto" w:fill="FFFFFF"/>
        <w:ind w:firstLine="420"/>
        <w:jc w:val="center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Анализ показателей бухгалтерской отчетности субъекта бюджетной отчетности.</w:t>
      </w:r>
    </w:p>
    <w:p w:rsidR="001C18A2" w:rsidRDefault="000A6564">
      <w:pPr>
        <w:shd w:val="clear" w:color="auto" w:fill="FFFFFF"/>
        <w:ind w:firstLine="420"/>
        <w:jc w:val="center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1C18A2" w:rsidRDefault="000A6564">
      <w:pPr>
        <w:shd w:val="clear" w:color="auto" w:fill="FFFFFF"/>
        <w:ind w:firstLine="4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Пояснительной записки (ф.0503360) представлены:</w:t>
      </w:r>
    </w:p>
    <w:p w:rsidR="001C18A2" w:rsidRDefault="000A6564">
      <w:pPr>
        <w:shd w:val="clear" w:color="auto" w:fill="FFFFFF"/>
        <w:ind w:firstLine="4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движении нефинансовых активов (ф. 0503368);</w:t>
      </w:r>
    </w:p>
    <w:p w:rsidR="001C18A2" w:rsidRDefault="000A6564">
      <w:pPr>
        <w:shd w:val="clear" w:color="auto" w:fill="FFFFFF"/>
        <w:ind w:firstLine="4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по дебиторской и кредиторской задолженности (ф. 0503369);</w:t>
      </w:r>
    </w:p>
    <w:p w:rsidR="001C18A2" w:rsidRDefault="000A6564">
      <w:pPr>
        <w:shd w:val="clear" w:color="auto" w:fill="FFFFFF"/>
        <w:ind w:firstLine="4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финансовых вложениях получателя бюджетных средств, администратора источников финансирования дефицита бюджета (ф. 0503371);</w:t>
      </w:r>
    </w:p>
    <w:p w:rsidR="001C18A2" w:rsidRDefault="000A6564">
      <w:pPr>
        <w:shd w:val="clear" w:color="auto" w:fill="FFFFFF"/>
        <w:ind w:firstLine="4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государственном (муниципальном) долге (ф. 0503372);</w:t>
      </w:r>
    </w:p>
    <w:p w:rsidR="001C18A2" w:rsidRDefault="000A6564">
      <w:pPr>
        <w:shd w:val="clear" w:color="auto" w:fill="FFFFFF"/>
        <w:ind w:firstLine="4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изменении остатков валюты баланса (ф. 0503373).</w:t>
      </w:r>
    </w:p>
    <w:p w:rsidR="001C18A2" w:rsidRDefault="000A6564">
      <w:pPr>
        <w:shd w:val="clear" w:color="auto" w:fill="FFFFFF"/>
        <w:ind w:firstLine="4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 Пояснения к отдельным формам годового отчета.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4.2. Сведения по дебиторской и кредиторской задолженности в форме 0503369)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– Приложение ф.0503369)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1C18A2" w:rsidRDefault="000A6564">
      <w:pPr>
        <w:shd w:val="clear" w:color="auto" w:fill="FFFFFF"/>
        <w:ind w:firstLine="560"/>
        <w:jc w:val="center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Динамика изменения дебиторской задолженности консолидированного бюджета Мурманской области за 2022 год</w:t>
      </w:r>
    </w:p>
    <w:p w:rsidR="001C18A2" w:rsidRDefault="000A6564">
      <w:pPr>
        <w:shd w:val="clear" w:color="auto" w:fill="FFFFFF"/>
        <w:jc w:val="right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млн. руб.</w:t>
      </w:r>
    </w:p>
    <w:tbl>
      <w:tblPr>
        <w:tblW w:w="9780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1418"/>
        <w:gridCol w:w="2837"/>
        <w:gridCol w:w="2981"/>
      </w:tblGrid>
      <w:tr w:rsidR="001C18A2">
        <w:trPr>
          <w:trHeight w:val="158"/>
          <w:jc w:val="center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счета бюджетного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учета</w:t>
            </w:r>
          </w:p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Сумма 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Сумма 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01.01.2023</w:t>
            </w:r>
          </w:p>
        </w:tc>
        <w:tc>
          <w:tcPr>
            <w:tcW w:w="29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(-)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(+)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</w:rPr>
              <w:t> </w:t>
            </w:r>
          </w:p>
        </w:tc>
      </w:tr>
      <w:tr w:rsidR="001C18A2">
        <w:trPr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Расчеты с плательщиками налоговых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946,5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1 658.4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+ 711,9</w:t>
            </w:r>
          </w:p>
        </w:tc>
      </w:tr>
      <w:tr w:rsidR="001C18A2">
        <w:trPr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доходам от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12 606,1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14 357,1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+ 1 751,0</w:t>
            </w:r>
          </w:p>
        </w:tc>
      </w:tr>
      <w:tr w:rsidR="001C18A2">
        <w:trPr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доходам от оказания платных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- 20,4</w:t>
            </w:r>
          </w:p>
        </w:tc>
      </w:tr>
      <w:tr w:rsidR="001C18A2">
        <w:trPr>
          <w:trHeight w:val="579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суммам штрафов, пеней, неустоек, возмещений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296,7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473,7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+ 177,0</w:t>
            </w:r>
          </w:p>
        </w:tc>
      </w:tr>
      <w:tr w:rsidR="001C18A2">
        <w:trPr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60 065,3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51 108,8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- 8 956,5</w:t>
            </w:r>
          </w:p>
        </w:tc>
      </w:tr>
      <w:tr w:rsidR="001C18A2">
        <w:trPr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656,2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1 770,4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+ 1 114,2</w:t>
            </w:r>
          </w:p>
        </w:tc>
      </w:tr>
      <w:tr w:rsidR="001C18A2">
        <w:trPr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прочим доходам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160,1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+5,0</w:t>
            </w:r>
          </w:p>
        </w:tc>
      </w:tr>
      <w:tr w:rsidR="001C18A2">
        <w:trPr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выданным авансам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2 210,8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8 349,8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+ 6 139,0</w:t>
            </w:r>
          </w:p>
        </w:tc>
      </w:tr>
      <w:tr w:rsidR="001C18A2">
        <w:trPr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2,9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+ 0,5</w:t>
            </w:r>
          </w:p>
        </w:tc>
      </w:tr>
      <w:tr w:rsidR="001C18A2">
        <w:trPr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ущербу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718,4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+ 241,9</w:t>
            </w:r>
          </w:p>
        </w:tc>
      </w:tr>
      <w:tr w:rsidR="001C18A2">
        <w:trPr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платежам в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209,4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435,0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+ 225,6</w:t>
            </w:r>
          </w:p>
        </w:tc>
      </w:tr>
      <w:tr w:rsidR="001C18A2">
        <w:trPr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77 924,1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79 313,3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+17 418,3</w:t>
            </w:r>
          </w:p>
        </w:tc>
      </w:tr>
    </w:tbl>
    <w:p w:rsidR="001C18A2" w:rsidRDefault="000A6564">
      <w:pPr>
        <w:shd w:val="clear" w:color="auto" w:fill="FFFFFF"/>
        <w:spacing w:line="360" w:lineRule="atLeast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1.205.00.000 «Расчеты по доходам» дебиторская задолженность на конец 2022 года сложилась в сумме 79 313,3 млн. рублей, что на 1 389,2 млн. рублей больше чем по состоянию на начало 2022 года. Увеличение дебиторской задолженности объясняется, в основном, увеличением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задолженности от предоставления межбюджетных трансфертов, начисленных в соответствии с федеральным </w:t>
      </w:r>
      <w:hyperlink r:id="rId10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стандарт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бухгалтерского учета для организаций государственного сектора «Доходы», утвержденного приказом Министерства финансов Российской Федерации от 27.02.2018 № 32н и письмом Министерства финансов Российской Федерации  от 15.01.2020 № 02-06-07/1666 «Об отражении в бухгалтерском учете операций по перечислению межбюджетных трансфертов».</w:t>
      </w:r>
    </w:p>
    <w:p w:rsidR="001C18A2" w:rsidRDefault="000A6564">
      <w:pPr>
        <w:shd w:val="clear" w:color="auto" w:fill="FFFFFF"/>
        <w:spacing w:line="360" w:lineRule="atLeast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задолженность по счету 1.205.00.000 увеличилась по сравнению с предыдущим отчетным годом на 426,8 млн. рублей и конец 2022 года составила 2 155,9 млн. рублей. Просроченная задолженность сложилась в основном в связи с несвоевременной уплатой текущих начислений по налогам, в связи с чем, налоговыми органами Мурманской области применяются меры принудительного взыскания в соответствии с Налоговым кодексом Российской Федерации.</w:t>
      </w:r>
    </w:p>
    <w:p w:rsidR="001C18A2" w:rsidRDefault="000A6564">
      <w:pPr>
        <w:shd w:val="clear" w:color="auto" w:fill="FFFFFF"/>
        <w:spacing w:line="360" w:lineRule="atLeast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Большую часть задолженности перед бюджетом имеется: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ООО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Амкойл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- задолженность по налогу на прибыль, зачисляемому в бюджет субъекта: налог – 135 663,40 тыс.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пени –10 7295,36 тыс. руб. (с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01.2020 введена процедура банкротства – конкурсное производство, вся задолженность является сомнительной, числится на 04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забалансовом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счете);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АО "Кольское предприятие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Электрорадиоавтоматика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 - задолженность по налогу на прибыль, зачисляемому в бюджет субъекта: налог – 75 096,03 тыс. руб. (с 09.2020 состоит на учете в ИФНС России № 10 по г. Москве). 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1.206.00.000 «Расчеты выданным авансам» дебиторская задолженность увеличилась на 6 139,0 млн. рублей и на конец 2022 года составила 8 349,8 млн. рублей. Причиной возникновения дебиторской задолженности по выданным авансам консолидированного бюджета Мурманской области являются авансовые платежи перед поставщиками согласно условиям заключенных договоров и контрактов.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дебиторская задолженность по счету 1.206.00.000 «Расчеты выданным авансам» увеличилась 23,9 млн. рублей и на конец 2022 года составила 247,2 млн. рублей.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Причиной возникновения просроченной дебиторской задолженности по выданным авансам консолидированного бюджета Мурманской области являются нарушение подрядными организациями сроков исполнения контрактов в связи с несвоевременным исполнением подрядчиком своих обязательств по контракту, а также длительного устранения подрядными организациями замечаний к проектной документации</w:t>
      </w:r>
      <w:r>
        <w:rPr>
          <w:rFonts w:ascii="Courier New" w:eastAsia="Courier New" w:hAnsi="Courier New" w:cs="Courier New"/>
          <w:color w:val="000000"/>
        </w:rPr>
        <w:t>.</w:t>
      </w:r>
    </w:p>
    <w:p w:rsidR="001C18A2" w:rsidRDefault="000A6564">
      <w:pPr>
        <w:shd w:val="clear" w:color="auto" w:fill="FFFFFF"/>
        <w:spacing w:line="360" w:lineRule="atLeast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сокращению дебиторской задолженности принимаются меры:</w:t>
      </w:r>
    </w:p>
    <w:p w:rsidR="001C18A2" w:rsidRDefault="000A6564">
      <w:pPr>
        <w:shd w:val="clear" w:color="auto" w:fill="FFFFFF"/>
        <w:spacing w:line="360" w:lineRule="atLeast"/>
        <w:ind w:firstLine="4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завершение расчетов и принятие ранее авансированных работ (услуг);</w:t>
      </w:r>
    </w:p>
    <w:p w:rsidR="001C18A2" w:rsidRDefault="000A6564">
      <w:pPr>
        <w:shd w:val="clear" w:color="auto" w:fill="FFFFFF"/>
        <w:spacing w:line="360" w:lineRule="atLeast"/>
        <w:ind w:firstLine="4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отказ от последующего авансирования выполняемых работ, предусмотренного договором (государственным контрактом), в случае нарушения сроков выполнения по текущем работам (отказ от «револьверного» авансирования при нарушении условий договора);</w:t>
      </w:r>
    </w:p>
    <w:p w:rsidR="001C18A2" w:rsidRDefault="000A6564">
      <w:pPr>
        <w:shd w:val="clear" w:color="auto" w:fill="FFFFFF"/>
        <w:spacing w:line="360" w:lineRule="atLeast"/>
        <w:ind w:firstLine="28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пересмотр потребности в авансировании контракта и внесение изменений в порядок оплаты обязательств по контракту;</w:t>
      </w:r>
    </w:p>
    <w:p w:rsidR="001C18A2" w:rsidRDefault="000A6564">
      <w:pPr>
        <w:shd w:val="clear" w:color="auto" w:fill="FFFFFF"/>
        <w:spacing w:line="360" w:lineRule="atLeast"/>
        <w:ind w:firstLine="28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пересмотр условий по авансированию контракта и внесение изменений в порядок оплаты обязательств по контракту, предусматривающий оплату по факту оказания услуги, выполнения работ, поставки товаров.</w:t>
      </w:r>
    </w:p>
    <w:p w:rsidR="001C18A2" w:rsidRDefault="000A6564">
      <w:pPr>
        <w:shd w:val="clear" w:color="auto" w:fill="FFFFFF"/>
        <w:spacing w:line="360" w:lineRule="atLeast"/>
        <w:ind w:firstLine="28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</w:p>
    <w:p w:rsidR="001C18A2" w:rsidRDefault="000A6564">
      <w:pPr>
        <w:shd w:val="clear" w:color="auto" w:fill="FFFFFF"/>
        <w:spacing w:line="360" w:lineRule="atLeast"/>
        <w:ind w:firstLine="280"/>
        <w:jc w:val="center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Динамика изменения кредиторской задолженности консолидированного бюджета Мурманской области за 2023 год</w:t>
      </w:r>
    </w:p>
    <w:p w:rsidR="001C18A2" w:rsidRDefault="000A6564">
      <w:pPr>
        <w:shd w:val="clear" w:color="auto" w:fill="FFFFFF"/>
        <w:jc w:val="right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млн. руб.</w:t>
      </w:r>
    </w:p>
    <w:tbl>
      <w:tblPr>
        <w:tblW w:w="9960" w:type="dxa"/>
        <w:tblInd w:w="-17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0"/>
        <w:gridCol w:w="1136"/>
        <w:gridCol w:w="1562"/>
        <w:gridCol w:w="993"/>
        <w:gridCol w:w="1703"/>
        <w:gridCol w:w="1563"/>
        <w:gridCol w:w="1133"/>
      </w:tblGrid>
      <w:tr w:rsidR="001C18A2">
        <w:trPr>
          <w:trHeight w:val="158"/>
        </w:trPr>
        <w:tc>
          <w:tcPr>
            <w:tcW w:w="18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счета бюджетного учета</w:t>
            </w:r>
          </w:p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01.01.2022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01.01.2023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(-)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(+)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</w:rPr>
              <w:t> </w:t>
            </w:r>
          </w:p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1C18A2">
        <w:trPr>
          <w:trHeight w:val="886"/>
        </w:trPr>
        <w:tc>
          <w:tcPr>
            <w:tcW w:w="1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просроченная задолженность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просроченная задолженность</w:t>
            </w:r>
          </w:p>
        </w:tc>
        <w:tc>
          <w:tcPr>
            <w:tcW w:w="2693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rFonts w:ascii="Courier New" w:eastAsia="Courier New" w:hAnsi="Courier New" w:cs="Courier New"/>
                <w:sz w:val="24"/>
                <w:shd w:val="clear" w:color="auto" w:fill="FFFFFF"/>
              </w:rPr>
            </w:pPr>
          </w:p>
        </w:tc>
      </w:tr>
      <w:tr w:rsidR="001C18A2">
        <w:trPr>
          <w:trHeight w:val="305"/>
        </w:trPr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доходам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17 229,6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24 671,2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 7 441,6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18A2"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Расчеты с подотчетными лицами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- 0,1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18A2"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ущербу и иным доходам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+ 0,4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18A2"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принятым обязательствам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6 541,4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7 396,5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+ 855,1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- 162,0</w:t>
            </w:r>
          </w:p>
        </w:tc>
      </w:tr>
      <w:tr w:rsidR="001C18A2"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платежам в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+ 33,4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18A2"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расчеты с кредиторами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C18A2"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right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24 050,5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32 380,9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+ 8 330,4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- 162,0</w:t>
            </w:r>
          </w:p>
        </w:tc>
      </w:tr>
    </w:tbl>
    <w:p w:rsidR="001C18A2" w:rsidRDefault="000A6564">
      <w:pPr>
        <w:shd w:val="clear" w:color="auto" w:fill="FFFFFF"/>
        <w:ind w:firstLine="560"/>
        <w:jc w:val="right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за 2022 год увеличилась на 8 330,4 млн. рублей и составляет 32 380,9 млн. рублей.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кредиторской задолженности связано с привлечением остатков денежных средств со счетов бюджетных и автономных учреждений, а также средств, находящихся во временном распоряжении казенных учреждений, и приостановлением нормы о возврате привлеченных средств при завершении текущего финансового года в соответствии со статьей 9 Федерального закона от 29.11.2021 № 384-ФЗ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году».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по счету 1.205.00.000 «Расчеты по доходам» в сумме 24 671,2 млн. рублей на конец 2022 года сложилась в основном по налоговым доходам, администрируемые ФНС России, в связи с уплатой авансовых платежей.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по счету 1.302.00.000 «Расчеты по принятым обязательствам» в сумме 7 396,5 млн. рублей - текущая задолженность, образовавшаяся в основном вследствие привлечения свободных остатков средств бюджетных и автономных учреждений, а также средств во временном распоряжении казенных учреждений.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снизилась на 61,5 млн. рублей и по состоянию на конец 2022 года сложилась в сумме 162,0 млн. рублей. (бюджет Кольского района – 137,9 млн. рублей, Территориальный фонд обязательного медицинского страхования Мурманской области – 11,0 млн рублей).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Просроченная кредиторская задолженность в сумме 137,9 млн. рублей образовалась в учреждениях Кольского района за счет исполнительных листов, предъявленных как субсидиарная ответственность по долгам муниципальных бюджетных учреждений, на 1 января 2011 года до вступления в силу Федерального закона от 08.05.2010 № 83-ФЗ «О внесении изменений в отдельные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реализации положений статьи 168.4 Бюджетного кодекса Российской Федерации в 2021 году главами администрации муниципальных образований, имеющих просроченную кредиторскую задолженность, заключены соглашения с Министерством финансов Мурманской области о мерах по восстановлению платежеспособности поселений Кольского района. 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Погашение просроченной кредиторской задолженности планируется осуществлять поэтапно в 2021-2025 годах за счет средств иного межбюджетного трансферта из областного бюджета и средств бюджета Кольского района, а также средств поселений. 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Муниципальным образованиям Мурманской области рекомендовано избегать необоснованных, не первоочередных расходов местного бюджета, не допускать фактов превышения доведенных лимитов при осуществлении закупок товаров, работ, услуг для муниципальных нужд, а также обеспечивать должный муниципальный контроль.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в сумме 11,0 млн рублей образовалась у территориального фонда обязательного медицинского страхования Мурманской области за несвоевременное поступление денежных средств (МБТ), как возмещение расходов бюджета ТФОМС Мурманской области за оплаченное лечение граждан, застрахованных в других субъектах РФ. Составлен график погашения просроченной кредиторской задолженности.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4.3. Сведения о финансовых вложениях (ф.0503371). 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2022 году финансовые вложения в государственные и муниципальные учреждения увеличились на 10 052,5 млн. рублей и составили 144 235,1 млн. рублей.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4.4. Сведения о государственном (муниципальном) долге консолидированного бюджета (ф.0503372).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Государственный долг Мурманской области на 1 января 2023 года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20 284,9 млн. рублей, который состоит из задолженности: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по бюджетным кредитам перед федеральным бюджетом 12 484,9 млн. рублей (балансовый счет 130111000 «Расчеты с бюджетами бюджетной системы РФ по привлеченным бюджетным кредитам»);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предоставленным государственным гарантиям Мурманской области – 1 600,0 млн. рублей.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отчетном году государственный долг Мурманской области увеличился на 7 843,4 млн. рублей за счет полученных кредитов от кредитных организаций и за счет увеличения объема государственных гарантий Мурманской области. 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4.5. Сведений об изменении остатков валюты баланса консолидированного бюджета (ф. 0503373)</w:t>
      </w:r>
    </w:p>
    <w:tbl>
      <w:tblPr>
        <w:tblW w:w="12741" w:type="dxa"/>
        <w:tblInd w:w="-70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1425"/>
        <w:gridCol w:w="1295"/>
        <w:gridCol w:w="86"/>
        <w:gridCol w:w="239"/>
        <w:gridCol w:w="1800"/>
        <w:gridCol w:w="1214"/>
        <w:gridCol w:w="406"/>
        <w:gridCol w:w="1620"/>
        <w:gridCol w:w="531"/>
        <w:gridCol w:w="1200"/>
        <w:gridCol w:w="1780"/>
        <w:gridCol w:w="80"/>
      </w:tblGrid>
      <w:tr w:rsidR="001C18A2" w:rsidTr="001F692F">
        <w:trPr>
          <w:trHeight w:val="300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bookmarkStart w:id="0" w:name="_dx_frag_StartFragment"/>
            <w:bookmarkEnd w:id="0"/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9816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4. Дополнительная информация по коду причины 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1C18A2" w:rsidTr="001F692F">
        <w:trPr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3253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0A6564">
            <w:pPr>
              <w:ind w:hanging="1080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 счета бюджетного учета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 изменений, руб.</w:t>
            </w:r>
          </w:p>
        </w:tc>
        <w:tc>
          <w:tcPr>
            <w:tcW w:w="8391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коду причины (руб.)</w:t>
            </w:r>
          </w:p>
        </w:tc>
      </w:tr>
      <w:tr w:rsidR="001C18A2" w:rsidTr="001F692F">
        <w:trPr>
          <w:gridAfter w:val="2"/>
          <w:wAfter w:w="1830" w:type="dxa"/>
          <w:trHeight w:val="900"/>
        </w:trPr>
        <w:tc>
          <w:tcPr>
            <w:tcW w:w="109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1C18A2">
            <w:pPr>
              <w:rPr>
                <w:sz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 xml:space="preserve"> </w:t>
            </w:r>
          </w:p>
        </w:tc>
        <w:tc>
          <w:tcPr>
            <w:tcW w:w="162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03.1</w:t>
            </w:r>
          </w:p>
        </w:tc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03.2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03.3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03.4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03.5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1C18A2" w:rsidTr="001F692F">
        <w:trPr>
          <w:gridAfter w:val="2"/>
          <w:wAfter w:w="1830" w:type="dxa"/>
          <w:trHeight w:val="327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Счета актива баланса, итого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ind w:right="100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60 212 999,06  </w:t>
            </w:r>
          </w:p>
        </w:tc>
        <w:tc>
          <w:tcPr>
            <w:tcW w:w="16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 13 889 656,52   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 142 443 647,66   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-205 367 035,02  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- 44 403 268,23   </w:t>
            </w:r>
          </w:p>
        </w:tc>
        <w:tc>
          <w:tcPr>
            <w:tcW w:w="1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153 649 998,13   </w:t>
            </w:r>
          </w:p>
        </w:tc>
      </w:tr>
      <w:tr w:rsidR="001C18A2" w:rsidTr="001F692F">
        <w:trPr>
          <w:gridAfter w:val="2"/>
          <w:wAfter w:w="1830" w:type="dxa"/>
          <w:trHeight w:val="353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010100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- 3 192 806,31 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   -  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- 2 592 890,00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- 539 831,91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 22 245,60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             82 330,00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010300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- 16 581 521,01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 36 782 661,24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- 53 364 182,25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010400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- 1 680 349,08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   -  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- 1 466 282,00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-244 602,28  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 66 839,43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             36 304,23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010500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 25 381 825,16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 25 371 563,89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  614 187,00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 530 589,25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 8 340,35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 64 996,13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010600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10 818 190,95  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 3 611 069,83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 952 432,89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704 069,09  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 5 550 619,14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010800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196 867 458,93  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706 819,80  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 193 592 624,94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 837 253,51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 1 730 760,68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2 237 300,52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   -  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 150 477,27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228 900,00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- 1 779 000,35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 3 636 923,60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020100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- 7 196,50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   -  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      -  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- 7 196,50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020400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 101 364,84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 228 244,90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 1 849 914,32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- 117 439,00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        2 062 085,06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020500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- 310 838 498,50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 986 017,90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 195 584,07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- 260 163 698,71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- 49 513 148,30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        2 343 253,46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020600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145 943 174,77  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- 2 346 582,65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 9 752,30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- 2 902,97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- 738 980,86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 149 021 888,95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020700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52 624 942,81  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   -  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      -  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 52 624 942,81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020800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1 060,58  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- 639,42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      -  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 1 700,00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020900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542 287,40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- 392 377,72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 772 120,18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91 053,96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 91 039,73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             19 548,75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030300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 5 446 731,87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- 262 470,27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 25 718,94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 286 380,71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 5 397 102,49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040150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154 714,47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 51 523,20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      -  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77 987,67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 128 250,00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Счета пассива баланса, итого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60 212 999,06   </w:t>
            </w:r>
          </w:p>
        </w:tc>
        <w:tc>
          <w:tcPr>
            <w:tcW w:w="16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 15 225 714,42   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 142 877 124,52   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- 207 125 554,54  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- 44 417 905,65   </w:t>
            </w:r>
          </w:p>
        </w:tc>
        <w:tc>
          <w:tcPr>
            <w:tcW w:w="17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153 653 620,31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020500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- 2 224 728,70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1 975 429,12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 10 057,54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- 16 662,12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- 37 212,50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        4 156 340,74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020800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69 663,46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18 339,70  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      -  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 51 323,76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020900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484 499,41  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 388 600,00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 280,26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 16 329,50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 79 289,65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030200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14 002 044,57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 11 026 443,15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      -  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 27 287,81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 2 948 313,61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030300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-205 625 723,52  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- 11 553,43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 181 687,34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- 207 512 432,34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- 198 383,24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 1 914 958,15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040130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305 831 882,62  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1 828 455,88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 142 812 178,79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- 4 811,31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 8 188 996,97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 153 007 062,29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040140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- 52 591 347,49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   -  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- 127 079,41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- 52 464 268,08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 -  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040160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266 708,71  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   -    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                             -     </w:t>
            </w:r>
          </w:p>
        </w:tc>
        <w:tc>
          <w:tcPr>
            <w:tcW w:w="16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    408 351,23   </w:t>
            </w:r>
          </w:p>
        </w:tc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- 1 979,87   </w:t>
            </w:r>
          </w:p>
        </w:tc>
        <w:tc>
          <w:tcPr>
            <w:tcW w:w="17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            139 662,65   </w:t>
            </w:r>
          </w:p>
        </w:tc>
      </w:tr>
      <w:tr w:rsidR="001C18A2" w:rsidTr="001F692F">
        <w:trPr>
          <w:gridAfter w:val="2"/>
          <w:wAfter w:w="1830" w:type="dxa"/>
          <w:trHeight w:val="300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</w:tbl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bookmarkStart w:id="1" w:name="_dx_frag_EndFragment"/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</w:p>
    <w:p w:rsidR="001C18A2" w:rsidRDefault="000A6564">
      <w:pPr>
        <w:shd w:val="clear" w:color="auto" w:fill="FFFFFF"/>
        <w:ind w:firstLine="560"/>
        <w:jc w:val="center"/>
        <w:rPr>
          <w:rFonts w:ascii="Courier New" w:eastAsia="Courier New" w:hAnsi="Courier New" w:cs="Courier New"/>
          <w:shd w:val="clear" w:color="auto" w:fill="FFFFFF"/>
        </w:rPr>
      </w:pPr>
      <w:bookmarkStart w:id="2" w:name="p_16985671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ind w:firstLine="560"/>
        <w:jc w:val="center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ind w:firstLine="560"/>
        <w:jc w:val="center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 Прочие вопросы деятельности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субъекта бюджетной отчетности.</w:t>
      </w:r>
    </w:p>
    <w:p w:rsidR="001C18A2" w:rsidRDefault="000A6564">
      <w:pPr>
        <w:shd w:val="clear" w:color="auto" w:fill="FFFFFF"/>
        <w:ind w:firstLine="560"/>
        <w:jc w:val="center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C18A2" w:rsidRDefault="000A6564">
      <w:pPr>
        <w:shd w:val="clear" w:color="auto" w:fill="FFFFFF"/>
        <w:ind w:right="20" w:firstLine="700"/>
        <w:jc w:val="center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Пояснения по протоколам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внутридокументным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междокумантным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контролям форм годовой отчетности </w:t>
      </w:r>
    </w:p>
    <w:p w:rsidR="001C18A2" w:rsidRDefault="000A6564">
      <w:pPr>
        <w:shd w:val="clear" w:color="auto" w:fill="FFFFFF"/>
        <w:ind w:right="20" w:firstLine="700"/>
        <w:jc w:val="center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за 2022 год.</w:t>
      </w:r>
    </w:p>
    <w:p w:rsidR="001C18A2" w:rsidRDefault="000A6564">
      <w:pPr>
        <w:shd w:val="clear" w:color="auto" w:fill="FFFFFF"/>
        <w:ind w:right="20"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 </w:t>
      </w:r>
    </w:p>
    <w:p w:rsidR="001C18A2" w:rsidRDefault="000A6564">
      <w:pPr>
        <w:shd w:val="clear" w:color="auto" w:fill="FFFFFF"/>
        <w:ind w:right="20"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 </w:t>
      </w:r>
    </w:p>
    <w:p w:rsidR="001C18A2" w:rsidRDefault="000A6564">
      <w:pPr>
        <w:numPr>
          <w:ilvl w:val="0"/>
          <w:numId w:val="3"/>
        </w:numPr>
        <w:ind w:left="-28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Отклонение по контрольным соотношения взаимосвязанных показателей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Баланса исполнения консолидированного бюджета субъекта Российской Федерации и бюджета территориального государственного внебюджетного фонда </w:t>
      </w:r>
      <w:hyperlink r:id="rId11">
        <w:r>
          <w:rPr>
            <w:rStyle w:val="a4"/>
            <w:rFonts w:ascii="Times New Roman" w:eastAsia="Times New Roman" w:hAnsi="Times New Roman" w:cs="Times New Roman"/>
            <w:b/>
            <w:color w:val="000000"/>
            <w:sz w:val="28"/>
            <w:szCs w:val="28"/>
          </w:rPr>
          <w:t xml:space="preserve">(ф. 0503320) </w:t>
        </w:r>
      </w:hyperlink>
    </w:p>
    <w:p w:rsidR="001C18A2" w:rsidRDefault="000A6564">
      <w:pPr>
        <w:ind w:left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  <w:t> </w:t>
      </w:r>
    </w:p>
    <w:tbl>
      <w:tblPr>
        <w:tblW w:w="9915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3"/>
        <w:gridCol w:w="2597"/>
        <w:gridCol w:w="5235"/>
      </w:tblGrid>
      <w:tr w:rsidR="001C18A2">
        <w:trPr>
          <w:trHeight w:val="402"/>
          <w:jc w:val="center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отклонений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 </w:t>
            </w:r>
          </w:p>
        </w:tc>
        <w:tc>
          <w:tcPr>
            <w:tcW w:w="5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Пояснение</w:t>
            </w:r>
          </w:p>
        </w:tc>
      </w:tr>
      <w:tr w:rsidR="001C18A2">
        <w:trPr>
          <w:trHeight w:val="313"/>
          <w:jc w:val="center"/>
        </w:trPr>
        <w:tc>
          <w:tcPr>
            <w:tcW w:w="99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Междокументный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контроль</w:t>
            </w:r>
          </w:p>
        </w:tc>
      </w:tr>
      <w:tr w:rsidR="001C18A2">
        <w:trPr>
          <w:trHeight w:val="445"/>
          <w:jc w:val="center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52 367 219,27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left="140" w:firstLine="14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Остаток по счету 1 207 00 000 в ф. 0503372 не соответствует идентичному показателю в балансе</w:t>
            </w:r>
          </w:p>
          <w:p w:rsidR="001C18A2" w:rsidRDefault="000A6564">
            <w:pPr>
              <w:shd w:val="clear" w:color="auto" w:fill="FFFFFF"/>
              <w:ind w:left="140" w:firstLine="14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Отражены долговые требования по необменным операциям счет 1 207 44 000 «Расчеты по иным долговым требованиям (займам (ссудам)».</w:t>
            </w:r>
          </w:p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соответствии с </w:t>
            </w:r>
            <w:hyperlink r:id="rId12">
              <w:r>
                <w:rPr>
                  <w:rStyle w:val="a4"/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none"/>
                </w:rPr>
                <w:t>п. 169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Инструкции № 191н в</w:t>
            </w:r>
          </w:p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ф. 0503172  (0503372) в графах 1, 2, 3 </w:t>
            </w:r>
            <w:hyperlink r:id="rId13">
              <w:r>
                <w:rPr>
                  <w:rStyle w:val="a4"/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none"/>
                </w:rPr>
                <w:t>Разделов 1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14">
              <w:r>
                <w:rPr>
                  <w:rStyle w:val="a4"/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none"/>
                </w:rPr>
                <w:t>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Приложения указываются номера соответствующих аналитических счетов счета 020700000 «Расчеты по кредитам, займам (ссудам)" (за исключением счета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020744000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«Расчеты по иным долговым требованиям (займам (ссудам)».</w:t>
            </w:r>
          </w:p>
        </w:tc>
      </w:tr>
      <w:tr w:rsidR="001C18A2">
        <w:trPr>
          <w:trHeight w:val="445"/>
          <w:jc w:val="center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85 991,30</w:t>
            </w:r>
          </w:p>
        </w:tc>
        <w:tc>
          <w:tcPr>
            <w:tcW w:w="2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left="4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Операции с финансовыми активами и обязательствами баланса не соответствует идентичному показателю в ф. 0503321</w:t>
            </w:r>
          </w:p>
          <w:p w:rsidR="001C18A2" w:rsidRDefault="000A6564">
            <w:pPr>
              <w:shd w:val="clear" w:color="auto" w:fill="FFFFFF"/>
              <w:ind w:left="4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Заключительные обороты по счету 0 304 06 000 </w:t>
            </w:r>
          </w:p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«Расчеты с прочими кредиторами».</w:t>
            </w:r>
          </w:p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отражена в Справке по консолидируемым расчетам (ф.0503125 по коду счета 0 304 06 000).</w:t>
            </w:r>
          </w:p>
        </w:tc>
      </w:tr>
      <w:tr w:rsidR="001C18A2">
        <w:trPr>
          <w:trHeight w:val="445"/>
          <w:jc w:val="center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- 119 162 946,95</w:t>
            </w:r>
          </w:p>
        </w:tc>
        <w:tc>
          <w:tcPr>
            <w:tcW w:w="2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52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shd w:val="clear" w:color="auto" w:fill="FFFFFF"/>
              <w:rPr>
                <w:rFonts w:ascii="Courier New" w:eastAsia="Courier New" w:hAnsi="Courier New" w:cs="Courier New"/>
                <w:sz w:val="24"/>
                <w:shd w:val="clear" w:color="auto" w:fill="FFFFFF"/>
              </w:rPr>
            </w:pPr>
          </w:p>
        </w:tc>
      </w:tr>
    </w:tbl>
    <w:p w:rsidR="001C18A2" w:rsidRDefault="000A6564">
      <w:pPr>
        <w:ind w:left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1C18A2" w:rsidRDefault="000A6564">
      <w:pPr>
        <w:numPr>
          <w:ilvl w:val="0"/>
          <w:numId w:val="4"/>
        </w:numPr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Отклонение по контрольным соотношения взаимосвязанных показателей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онсолидированного Отчета о финансовых результатах деятельности </w:t>
      </w:r>
      <w:hyperlink r:id="rId15">
        <w:r>
          <w:rPr>
            <w:rStyle w:val="a4"/>
            <w:rFonts w:ascii="Calibri" w:eastAsia="Calibri" w:hAnsi="Calibri" w:cs="Calibri"/>
            <w:b/>
            <w:color w:val="000000"/>
            <w:sz w:val="26"/>
            <w:szCs w:val="26"/>
          </w:rPr>
          <w:t>(ф.0503321)</w:t>
        </w:r>
      </w:hyperlink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 xml:space="preserve"> </w:t>
      </w:r>
    </w:p>
    <w:p w:rsidR="001C18A2" w:rsidRDefault="000A6564">
      <w:pPr>
        <w:shd w:val="clear" w:color="auto" w:fill="FFFFFF"/>
        <w:ind w:firstLine="7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 </w:t>
      </w:r>
    </w:p>
    <w:tbl>
      <w:tblPr>
        <w:tblW w:w="9975" w:type="dxa"/>
        <w:tblInd w:w="-152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8"/>
        <w:gridCol w:w="1142"/>
        <w:gridCol w:w="2765"/>
        <w:gridCol w:w="1623"/>
        <w:gridCol w:w="2547"/>
      </w:tblGrid>
      <w:tr w:rsidR="001C18A2">
        <w:trPr>
          <w:trHeight w:val="402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отклонений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Раздел, графа, код строки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показателя:</w:t>
            </w:r>
          </w:p>
        </w:tc>
        <w:tc>
          <w:tcPr>
            <w:tcW w:w="1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 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Пояснение</w:t>
            </w:r>
          </w:p>
        </w:tc>
      </w:tr>
      <w:tr w:rsidR="001C18A2">
        <w:trPr>
          <w:gridAfter w:val="2"/>
          <w:wAfter w:w="720" w:type="dxa"/>
          <w:trHeight w:val="310"/>
        </w:trPr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                                                                       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Внутридокументный контроль</w:t>
            </w:r>
          </w:p>
        </w:tc>
      </w:tr>
      <w:tr w:rsidR="001C18A2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- 231 999 406,17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firstLine="2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1,4,90</w:t>
            </w:r>
          </w:p>
        </w:tc>
        <w:tc>
          <w:tcPr>
            <w:tcW w:w="2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Чрезвычайные доходы от операций с активами Код по КОСГУ: 173</w:t>
            </w:r>
          </w:p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6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Отрицательные показатели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требуют пояснений</w:t>
            </w:r>
          </w:p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 соответствии с Законом Мурманской области от 16.12.2021 № 2712-01-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ЗМО «Об областном бюджете на 2022 год и на плановый период 2023 и 2024 годов», постановлением Правительства Мурманской области от 10.08.2022 № 641-ПП «Об утверждении Правил проведения в 2022 году реструктуризации задолженности муниципальных образований Мурманской области перед областным бюджетом по бюджетным кредитам» проведена реструктуризация задолженности</w:t>
            </w:r>
          </w:p>
        </w:tc>
      </w:tr>
      <w:tr w:rsidR="001C18A2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- 225 815 973,29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1,6,90</w:t>
            </w:r>
          </w:p>
        </w:tc>
        <w:tc>
          <w:tcPr>
            <w:tcW w:w="2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25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shd w:val="clear" w:color="auto" w:fill="FFFFFF"/>
              <w:rPr>
                <w:rFonts w:ascii="Courier New" w:eastAsia="Courier New" w:hAnsi="Courier New" w:cs="Courier New"/>
                <w:sz w:val="24"/>
                <w:shd w:val="clear" w:color="auto" w:fill="FFFFFF"/>
              </w:rPr>
            </w:pPr>
          </w:p>
        </w:tc>
      </w:tr>
      <w:tr w:rsidR="001C18A2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- 853 326 767,29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left="2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1,8,90</w:t>
            </w:r>
          </w:p>
        </w:tc>
        <w:tc>
          <w:tcPr>
            <w:tcW w:w="2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25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shd w:val="clear" w:color="auto" w:fill="FFFFFF"/>
              <w:rPr>
                <w:rFonts w:ascii="Courier New" w:eastAsia="Courier New" w:hAnsi="Courier New" w:cs="Courier New"/>
                <w:sz w:val="24"/>
                <w:shd w:val="clear" w:color="auto" w:fill="FFFFFF"/>
              </w:rPr>
            </w:pPr>
          </w:p>
        </w:tc>
      </w:tr>
      <w:tr w:rsidR="001C18A2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- 78 282,91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1,15,90</w:t>
            </w:r>
          </w:p>
        </w:tc>
        <w:tc>
          <w:tcPr>
            <w:tcW w:w="2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25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shd w:val="clear" w:color="auto" w:fill="FFFFFF"/>
              <w:rPr>
                <w:rFonts w:ascii="Courier New" w:eastAsia="Courier New" w:hAnsi="Courier New" w:cs="Courier New"/>
                <w:sz w:val="24"/>
                <w:shd w:val="clear" w:color="auto" w:fill="FFFFFF"/>
              </w:rPr>
            </w:pPr>
          </w:p>
        </w:tc>
      </w:tr>
      <w:tr w:rsidR="001C18A2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- 6 183 432,88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left="20" w:hanging="2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1,16,90</w:t>
            </w:r>
          </w:p>
        </w:tc>
        <w:tc>
          <w:tcPr>
            <w:tcW w:w="2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25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shd w:val="clear" w:color="auto" w:fill="FFFFFF"/>
              <w:rPr>
                <w:rFonts w:ascii="Courier New" w:eastAsia="Courier New" w:hAnsi="Courier New" w:cs="Courier New"/>
                <w:sz w:val="24"/>
                <w:shd w:val="clear" w:color="auto" w:fill="FFFFFF"/>
              </w:rPr>
            </w:pPr>
          </w:p>
        </w:tc>
      </w:tr>
      <w:tr w:rsidR="001C18A2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- 513 830 641,37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left="2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4(6), 90</w:t>
            </w:r>
          </w:p>
        </w:tc>
        <w:tc>
          <w:tcPr>
            <w:tcW w:w="2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оценки активов и обязательств Код по КОСГУ: 176</w:t>
            </w:r>
          </w:p>
          <w:p w:rsidR="001C18A2" w:rsidRDefault="000A6564">
            <w:pPr>
              <w:shd w:val="clear" w:color="auto" w:fill="FFFFFF"/>
              <w:ind w:left="140" w:firstLine="14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Отрицательные показатели требуют пояснений</w:t>
            </w:r>
          </w:p>
          <w:p w:rsidR="001C18A2" w:rsidRDefault="000A6564">
            <w:pPr>
              <w:shd w:val="clear" w:color="auto" w:fill="FFFFFF"/>
              <w:ind w:left="140" w:firstLine="14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кадастровой стоимости земельных участков, ранее принятых к бюджетному учету</w:t>
            </w:r>
          </w:p>
        </w:tc>
      </w:tr>
      <w:tr w:rsidR="001C18A2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- 772 639 845,28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firstLine="2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1,10,90</w:t>
            </w:r>
          </w:p>
        </w:tc>
        <w:tc>
          <w:tcPr>
            <w:tcW w:w="2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25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shd w:val="clear" w:color="auto" w:fill="FFFFFF"/>
              <w:rPr>
                <w:rFonts w:ascii="Courier New" w:eastAsia="Courier New" w:hAnsi="Courier New" w:cs="Courier New"/>
                <w:sz w:val="24"/>
                <w:shd w:val="clear" w:color="auto" w:fill="FFFFFF"/>
              </w:rPr>
            </w:pPr>
          </w:p>
        </w:tc>
      </w:tr>
      <w:tr w:rsidR="001C18A2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- 18 565 736,14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firstLine="2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1,14,90</w:t>
            </w:r>
          </w:p>
        </w:tc>
        <w:tc>
          <w:tcPr>
            <w:tcW w:w="2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25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shd w:val="clear" w:color="auto" w:fill="FFFFFF"/>
              <w:rPr>
                <w:rFonts w:ascii="Courier New" w:eastAsia="Courier New" w:hAnsi="Courier New" w:cs="Courier New"/>
                <w:sz w:val="24"/>
                <w:shd w:val="clear" w:color="auto" w:fill="FFFFFF"/>
              </w:rPr>
            </w:pPr>
          </w:p>
        </w:tc>
      </w:tr>
      <w:tr w:rsidR="001C18A2">
        <w:trPr>
          <w:trHeight w:val="445"/>
        </w:trPr>
        <w:tc>
          <w:tcPr>
            <w:tcW w:w="99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Междокументный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контроль</w:t>
            </w:r>
          </w:p>
        </w:tc>
      </w:tr>
      <w:tr w:rsidR="001C18A2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отклонений</w:t>
            </w:r>
          </w:p>
        </w:tc>
        <w:tc>
          <w:tcPr>
            <w:tcW w:w="5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Пояснение</w:t>
            </w:r>
          </w:p>
        </w:tc>
      </w:tr>
      <w:tr w:rsidR="001C18A2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52 524 485,50</w:t>
            </w:r>
          </w:p>
        </w:tc>
        <w:tc>
          <w:tcPr>
            <w:tcW w:w="5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Чистое поступление основных средств по ф. 0503321 не соответствует идентичному показателю ф. 0503368 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соответствии с п. 96 Инструкции 191н</w:t>
            </w:r>
          </w:p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показатели по строкам 831,832,851,852 формируются в том числе и по счету 1 1089Х000 «Нефинансовые активы, составляющие имущество казны, в концессии»</w:t>
            </w:r>
          </w:p>
        </w:tc>
      </w:tr>
      <w:tr w:rsidR="001C18A2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40 250 073,34 </w:t>
            </w:r>
          </w:p>
        </w:tc>
        <w:tc>
          <w:tcPr>
            <w:tcW w:w="5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left="140" w:firstLine="14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Сумма начисленных расходов в ф. 0503321 по гр.4 не соответствует сумме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неденежных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расчетов </w:t>
            </w:r>
          </w:p>
          <w:p w:rsidR="001C18A2" w:rsidRDefault="000A6564">
            <w:pPr>
              <w:shd w:val="clear" w:color="auto" w:fill="FFFFFF"/>
              <w:ind w:left="14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ф. 0503125 по счету 140120251</w:t>
            </w:r>
          </w:p>
          <w:p w:rsidR="001C18A2" w:rsidRDefault="000A6564">
            <w:pPr>
              <w:shd w:val="clear" w:color="auto" w:fill="FFFFFF"/>
              <w:ind w:left="140" w:firstLine="14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Ф. 0503321 отражена передача объектов нефинансовых активов другим бюджетам по КВР 807 «Безвозмездные межбюджетные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неденежные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передачи бюджетным (автономным) учреждениям» КОСГУ 251</w:t>
            </w:r>
          </w:p>
        </w:tc>
      </w:tr>
      <w:tr w:rsidR="001C18A2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85 991,30</w:t>
            </w:r>
          </w:p>
        </w:tc>
        <w:tc>
          <w:tcPr>
            <w:tcW w:w="552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Финансовый результат по счетам баланса не соответствует идентичному показателю в ф 0503321- допустимо на сумму заключительных оборотов по счету 0 304 06 000</w:t>
            </w:r>
          </w:p>
          <w:p w:rsidR="001C18A2" w:rsidRDefault="000A6564">
            <w:pPr>
              <w:shd w:val="clear" w:color="auto" w:fill="FFFFFF"/>
              <w:ind w:left="140" w:firstLine="14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Заключительные обороты по счету 0 304 06 000 </w:t>
            </w:r>
          </w:p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«Расчеты с прочими кредиторами».</w:t>
            </w:r>
          </w:p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отражена в Справке по консолидируемым расчетам (ф.0503125 по коду счета 0 304 06 000).</w:t>
            </w:r>
          </w:p>
        </w:tc>
      </w:tr>
      <w:tr w:rsidR="001C18A2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- 119 162 946,95</w:t>
            </w:r>
          </w:p>
        </w:tc>
        <w:tc>
          <w:tcPr>
            <w:tcW w:w="552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25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shd w:val="clear" w:color="auto" w:fill="FFFFFF"/>
              <w:rPr>
                <w:rFonts w:ascii="Courier New" w:eastAsia="Courier New" w:hAnsi="Courier New" w:cs="Courier New"/>
                <w:sz w:val="24"/>
                <w:shd w:val="clear" w:color="auto" w:fill="FFFFFF"/>
              </w:rPr>
            </w:pPr>
          </w:p>
        </w:tc>
      </w:tr>
    </w:tbl>
    <w:p w:rsidR="001C18A2" w:rsidRDefault="000A6564">
      <w:pPr>
        <w:shd w:val="clear" w:color="auto" w:fill="FFFFFF"/>
        <w:ind w:left="5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1C18A2" w:rsidRDefault="000A6564">
      <w:pPr>
        <w:shd w:val="clear" w:color="auto" w:fill="FFFFFF"/>
        <w:ind w:left="5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1C18A2" w:rsidRDefault="000A6564">
      <w:pPr>
        <w:numPr>
          <w:ilvl w:val="0"/>
          <w:numId w:val="5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Отклонение по контрольным соотношения взаимосвязанных показателей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Справки по заключению счетов бюджетного учета отчетного финансового года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(ф.0503110)</w:t>
      </w:r>
    </w:p>
    <w:p w:rsidR="001C18A2" w:rsidRDefault="000A6564">
      <w:pPr>
        <w:shd w:val="clear" w:color="auto" w:fill="FFFFFF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ind w:firstLine="28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КБД 0001130299404(14)0000130 (140110136) – начислен доход бюджетов от возврата дебиторской задолженности прошлых лет по расходам, сформированной получателем бюджетных средств.</w:t>
      </w:r>
    </w:p>
    <w:p w:rsidR="001C18A2" w:rsidRDefault="000A6564">
      <w:pPr>
        <w:ind w:firstLine="28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КБД 000 000000000000000000 (14011018К) – отражены операции по отнесению начисленных предстоящих доходов на финансовый результат отчетного периода в течение срока действия концессионного соглашения.</w:t>
      </w:r>
    </w:p>
    <w:p w:rsidR="001C18A2" w:rsidRDefault="000A6564">
      <w:pPr>
        <w:shd w:val="clear" w:color="auto" w:fill="FFFFFF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1C18A2" w:rsidRDefault="000A6564">
      <w:pPr>
        <w:shd w:val="clear" w:color="auto" w:fill="FFFFFF"/>
        <w:ind w:firstLine="560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numPr>
          <w:ilvl w:val="0"/>
          <w:numId w:val="6"/>
        </w:numPr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Отклонение по контрольным соотношения взаимосвязанных показателей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Сведений о движении нефинансовых активов консолидируемого бюджета</w:t>
      </w:r>
    </w:p>
    <w:p w:rsidR="001C18A2" w:rsidRDefault="000A6564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(ф. 0503368) </w:t>
      </w:r>
    </w:p>
    <w:p w:rsidR="001C18A2" w:rsidRDefault="000A6564">
      <w:pPr>
        <w:shd w:val="clear" w:color="auto" w:fill="FFFFFF"/>
        <w:ind w:left="5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ind w:left="520"/>
        <w:jc w:val="both"/>
        <w:rPr>
          <w:rFonts w:ascii="Courier New" w:eastAsia="Courier New" w:hAnsi="Courier New" w:cs="Courier New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Внутридокументный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контроль по строке 560</w:t>
      </w:r>
    </w:p>
    <w:tbl>
      <w:tblPr>
        <w:tblW w:w="10065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9"/>
        <w:gridCol w:w="2006"/>
        <w:gridCol w:w="2964"/>
        <w:gridCol w:w="3706"/>
      </w:tblGrid>
      <w:tr w:rsidR="001C18A2">
        <w:trPr>
          <w:trHeight w:val="5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ind w:left="700" w:hanging="4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Сумма 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firstLine="56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ind w:firstLine="56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Графы</w:t>
            </w:r>
          </w:p>
        </w:tc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firstLine="56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ind w:firstLine="56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Отклонение</w:t>
            </w:r>
          </w:p>
        </w:tc>
        <w:tc>
          <w:tcPr>
            <w:tcW w:w="3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firstLine="56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1C18A2" w:rsidRDefault="000A6564">
            <w:pPr>
              <w:shd w:val="clear" w:color="auto" w:fill="FFFFFF"/>
              <w:ind w:firstLine="56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Пояснения</w:t>
            </w:r>
          </w:p>
        </w:tc>
      </w:tr>
      <w:tr w:rsidR="001C18A2">
        <w:trPr>
          <w:trHeight w:val="51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13 262 511,55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8A2" w:rsidRDefault="000A6564">
            <w:pPr>
              <w:shd w:val="clear" w:color="auto" w:fill="FFFFFF"/>
              <w:ind w:firstLine="10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3, 4, 6 «На начало года»</w:t>
            </w:r>
          </w:p>
        </w:tc>
        <w:tc>
          <w:tcPr>
            <w:tcW w:w="2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показателей по строке «Вложения в объекты государственной (муниципальной) казны» требует пояснений</w:t>
            </w:r>
          </w:p>
          <w:p w:rsidR="001C18A2" w:rsidRDefault="000A6564">
            <w:pPr>
              <w:shd w:val="clear" w:color="auto" w:fill="FFFFFF"/>
              <w:ind w:firstLine="10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firstLine="10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Вложение в приобретение квартир, благоустройство муниципальных объектов (сквер, парк, набережная) счет 16050000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"Вложения в нефинансовые активы государственной (муниципальной) казны"</w:t>
            </w:r>
          </w:p>
          <w:p w:rsidR="001C18A2" w:rsidRDefault="000A6564">
            <w:pPr>
              <w:shd w:val="clear" w:color="auto" w:fill="FFFFFF"/>
              <w:ind w:firstLine="10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C18A2">
        <w:trPr>
          <w:trHeight w:val="51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614 818 938,69 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firstLine="10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ind w:firstLine="10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8,10,13 «Поступление (увеличение) </w:t>
            </w:r>
          </w:p>
        </w:tc>
        <w:tc>
          <w:tcPr>
            <w:tcW w:w="2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6"/>
              </w:rPr>
            </w:pPr>
          </w:p>
        </w:tc>
        <w:tc>
          <w:tcPr>
            <w:tcW w:w="37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rFonts w:ascii="Courier New" w:eastAsia="Courier New" w:hAnsi="Courier New" w:cs="Courier New"/>
                <w:sz w:val="6"/>
                <w:shd w:val="clear" w:color="auto" w:fill="FFFFFF"/>
              </w:rPr>
            </w:pPr>
          </w:p>
        </w:tc>
      </w:tr>
      <w:tr w:rsidR="001C18A2">
        <w:trPr>
          <w:trHeight w:val="51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535 615 080,19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firstLine="10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ind w:firstLine="10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15, 17, 20 «Выбытие (уменьшение)»</w:t>
            </w:r>
          </w:p>
        </w:tc>
        <w:tc>
          <w:tcPr>
            <w:tcW w:w="2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6"/>
              </w:rPr>
            </w:pPr>
          </w:p>
        </w:tc>
        <w:tc>
          <w:tcPr>
            <w:tcW w:w="37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rFonts w:ascii="Courier New" w:eastAsia="Courier New" w:hAnsi="Courier New" w:cs="Courier New"/>
                <w:sz w:val="6"/>
                <w:shd w:val="clear" w:color="auto" w:fill="FFFFFF"/>
              </w:rPr>
            </w:pPr>
          </w:p>
        </w:tc>
      </w:tr>
      <w:tr w:rsidR="001C18A2">
        <w:trPr>
          <w:trHeight w:val="51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92 466 370,05 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firstLine="10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numPr>
                <w:ilvl w:val="0"/>
                <w:numId w:val="7"/>
              </w:numPr>
              <w:shd w:val="clear" w:color="auto" w:fill="FFFFFF"/>
              <w:ind w:left="4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«На конец года»</w:t>
            </w:r>
          </w:p>
        </w:tc>
        <w:tc>
          <w:tcPr>
            <w:tcW w:w="2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6"/>
              </w:rPr>
            </w:pPr>
          </w:p>
        </w:tc>
        <w:tc>
          <w:tcPr>
            <w:tcW w:w="37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rFonts w:ascii="Courier New" w:eastAsia="Courier New" w:hAnsi="Courier New" w:cs="Courier New"/>
                <w:sz w:val="6"/>
                <w:shd w:val="clear" w:color="auto" w:fill="FFFFFF"/>
              </w:rPr>
            </w:pPr>
          </w:p>
        </w:tc>
      </w:tr>
    </w:tbl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1C18A2" w:rsidRDefault="000A6564">
      <w:pPr>
        <w:shd w:val="clear" w:color="auto" w:fill="FFFFFF"/>
        <w:ind w:left="520"/>
        <w:jc w:val="both"/>
        <w:rPr>
          <w:rFonts w:ascii="Courier New" w:eastAsia="Courier New" w:hAnsi="Courier New" w:cs="Courier New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Междокументный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контроль </w:t>
      </w:r>
    </w:p>
    <w:tbl>
      <w:tblPr>
        <w:tblW w:w="9975" w:type="dxa"/>
        <w:tblInd w:w="-152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7"/>
        <w:gridCol w:w="5531"/>
        <w:gridCol w:w="2547"/>
      </w:tblGrid>
      <w:tr w:rsidR="001C18A2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отклонений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Пояснение</w:t>
            </w:r>
          </w:p>
        </w:tc>
      </w:tr>
      <w:tr w:rsidR="001C18A2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52 524 485,50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Чистое поступление основных средств по ф. 0503321 не соответствует идентичному показателю ф. 0503368 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соответствии с п. 96 Инструкции 191н</w:t>
            </w:r>
          </w:p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показатели по строкам 831,832,851,852 формируются в том числе и по счету 1 1089Х000 «Нефинансовые активы, составляющие имущество казны, в концессии»</w:t>
            </w:r>
          </w:p>
        </w:tc>
      </w:tr>
    </w:tbl>
    <w:p w:rsidR="001C18A2" w:rsidRDefault="000A6564">
      <w:pPr>
        <w:shd w:val="clear" w:color="auto" w:fill="FFFFFF"/>
        <w:ind w:left="5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1C18A2" w:rsidRDefault="000A6564">
      <w:pPr>
        <w:shd w:val="clear" w:color="auto" w:fill="FFFFFF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1C18A2" w:rsidRDefault="000A6564">
      <w:pPr>
        <w:numPr>
          <w:ilvl w:val="0"/>
          <w:numId w:val="8"/>
        </w:numPr>
        <w:spacing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Отклонение по контрольным соотношения взаимосвязанных показателей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Сведений по дебиторской и кредиторской задолженности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(ф. 0503369)</w:t>
      </w:r>
    </w:p>
    <w:p w:rsidR="001C18A2" w:rsidRDefault="000A6564">
      <w:pPr>
        <w:shd w:val="clear" w:color="auto" w:fill="FFFFFF"/>
        <w:spacing w:line="276" w:lineRule="auto"/>
        <w:ind w:left="5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spacing w:line="276" w:lineRule="auto"/>
        <w:ind w:left="520" w:hanging="2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5.1.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Внутридокументный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контроль дебиторской задолженности</w:t>
      </w:r>
    </w:p>
    <w:tbl>
      <w:tblPr>
        <w:tblW w:w="978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849"/>
        <w:gridCol w:w="3065"/>
        <w:gridCol w:w="4319"/>
      </w:tblGrid>
      <w:tr w:rsidR="001C18A2">
        <w:trPr>
          <w:trHeight w:val="580"/>
        </w:trPr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left="600" w:hanging="4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  <w:p w:rsidR="001C18A2" w:rsidRDefault="000A6564">
            <w:pPr>
              <w:shd w:val="clear" w:color="auto" w:fill="FFFFFF"/>
              <w:ind w:left="600" w:hanging="40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Сумма 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Графы</w:t>
            </w: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Отклонение</w:t>
            </w:r>
          </w:p>
        </w:tc>
        <w:tc>
          <w:tcPr>
            <w:tcW w:w="4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Пояснения</w:t>
            </w:r>
          </w:p>
        </w:tc>
      </w:tr>
      <w:tr w:rsidR="001C18A2">
        <w:trPr>
          <w:trHeight w:val="51"/>
        </w:trPr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945 501 495,78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8A2" w:rsidRDefault="000A6564">
            <w:pPr>
              <w:shd w:val="clear" w:color="auto" w:fill="FFFFFF"/>
              <w:ind w:firstLine="10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2,4</w:t>
            </w:r>
          </w:p>
        </w:tc>
        <w:tc>
          <w:tcPr>
            <w:tcW w:w="30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firstLine="10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ind w:firstLine="10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Показатель по дебиторской задолженности по доходам свыше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43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firstLine="10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ind w:firstLine="10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Задолженность перед ИФНС налогоплательщиков по налогам </w:t>
            </w:r>
          </w:p>
          <w:p w:rsidR="001C18A2" w:rsidRDefault="000A6564">
            <w:pPr>
              <w:shd w:val="clear" w:color="auto" w:fill="FFFFFF"/>
              <w:ind w:firstLine="10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счет 1 205 11 000 «Расчеты с плательщиками налогов»</w:t>
            </w:r>
          </w:p>
          <w:p w:rsidR="001C18A2" w:rsidRDefault="000A6564">
            <w:pPr>
              <w:shd w:val="clear" w:color="auto" w:fill="FFFFFF"/>
              <w:ind w:firstLine="10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C18A2">
        <w:trPr>
          <w:trHeight w:val="981"/>
        </w:trPr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1 657 364 479,81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8A2" w:rsidRDefault="000A6564">
            <w:pPr>
              <w:shd w:val="clear" w:color="auto" w:fill="FFFFFF"/>
              <w:ind w:firstLine="10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2,4</w:t>
            </w:r>
          </w:p>
        </w:tc>
        <w:tc>
          <w:tcPr>
            <w:tcW w:w="30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43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1C18A2">
            <w:pPr>
              <w:shd w:val="clear" w:color="auto" w:fill="FFFFFF"/>
              <w:rPr>
                <w:rFonts w:ascii="Courier New" w:eastAsia="Courier New" w:hAnsi="Courier New" w:cs="Courier New"/>
                <w:sz w:val="24"/>
                <w:shd w:val="clear" w:color="auto" w:fill="FFFFFF"/>
              </w:rPr>
            </w:pPr>
          </w:p>
        </w:tc>
      </w:tr>
    </w:tbl>
    <w:p w:rsidR="001C18A2" w:rsidRDefault="000A6564">
      <w:pPr>
        <w:shd w:val="clear" w:color="auto" w:fill="FFFFFF"/>
        <w:spacing w:line="276" w:lineRule="auto"/>
        <w:ind w:left="150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spacing w:line="276" w:lineRule="auto"/>
        <w:ind w:firstLine="28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5.2.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Внутридокументный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контроль кредиторской задолженности</w:t>
      </w:r>
    </w:p>
    <w:tbl>
      <w:tblPr>
        <w:tblW w:w="978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2459"/>
        <w:gridCol w:w="1939"/>
        <w:gridCol w:w="3831"/>
      </w:tblGrid>
      <w:tr w:rsidR="001C18A2">
        <w:trPr>
          <w:trHeight w:val="5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Сумма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Содержание строки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Отклонение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firstLine="56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Пояснения</w:t>
            </w:r>
          </w:p>
        </w:tc>
      </w:tr>
      <w:tr w:rsidR="001C18A2">
        <w:trPr>
          <w:trHeight w:val="51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7 645 786,53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 (код) счета бюджетного учета: 00000000000000000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140160251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Показатель по счету 140160251 на конец отчетного периода 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firstLine="10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начисленной кредиторской задолженности за счет оформленного ранее резерва ТФОМС</w:t>
            </w:r>
          </w:p>
        </w:tc>
      </w:tr>
    </w:tbl>
    <w:p w:rsidR="001C18A2" w:rsidRDefault="000A6564">
      <w:pPr>
        <w:shd w:val="clear" w:color="auto" w:fill="FFFFFF"/>
        <w:spacing w:line="276" w:lineRule="auto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spacing w:line="276" w:lineRule="auto"/>
        <w:ind w:left="560" w:hanging="28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5.3.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Междокументный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контроль кредиторской задолженности</w:t>
      </w:r>
    </w:p>
    <w:tbl>
      <w:tblPr>
        <w:tblW w:w="978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2254"/>
        <w:gridCol w:w="5533"/>
      </w:tblGrid>
      <w:tr w:rsidR="001C18A2">
        <w:trPr>
          <w:trHeight w:val="580"/>
        </w:trPr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Сумма</w:t>
            </w:r>
          </w:p>
        </w:tc>
        <w:tc>
          <w:tcPr>
            <w:tcW w:w="2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Отклонение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firstLine="56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Пояснения</w:t>
            </w:r>
          </w:p>
        </w:tc>
      </w:tr>
      <w:tr w:rsidR="001C18A2">
        <w:trPr>
          <w:trHeight w:val="51"/>
        </w:trPr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6 622 546,12</w:t>
            </w:r>
          </w:p>
        </w:tc>
        <w:tc>
          <w:tcPr>
            <w:tcW w:w="2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8A2" w:rsidRDefault="000A6564">
            <w:pPr>
              <w:shd w:val="clear" w:color="auto" w:fill="FFFFFF"/>
              <w:ind w:firstLine="10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начисленной кредиторской задолженности за счет оформленного ранее резерва ТФОМС</w:t>
            </w:r>
          </w:p>
        </w:tc>
      </w:tr>
    </w:tbl>
    <w:p w:rsidR="001C18A2" w:rsidRDefault="000A6564">
      <w:pPr>
        <w:shd w:val="clear" w:color="auto" w:fill="FFFFFF"/>
        <w:spacing w:line="276" w:lineRule="auto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numPr>
          <w:ilvl w:val="0"/>
          <w:numId w:val="9"/>
        </w:numPr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Отклонение по контрольным соотношения взаимосвязанных показателей</w:t>
      </w:r>
      <w:r>
        <w:rPr>
          <w:rFonts w:ascii="Courier New" w:eastAsia="Courier New" w:hAnsi="Courier New" w:cs="Courier New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Сведения о государственном (муниципальном) долге, предоставленных бюджетных кредитах </w:t>
      </w:r>
      <w:hyperlink r:id="rId16">
        <w:r>
          <w:rPr>
            <w:rStyle w:val="a4"/>
            <w:rFonts w:ascii="Times New Roman" w:eastAsia="Times New Roman" w:hAnsi="Times New Roman" w:cs="Times New Roman"/>
            <w:b/>
            <w:color w:val="000000"/>
            <w:sz w:val="28"/>
            <w:szCs w:val="28"/>
          </w:rPr>
          <w:t>(ф. 0503372)</w:t>
        </w:r>
      </w:hyperlink>
    </w:p>
    <w:p w:rsidR="001C18A2" w:rsidRDefault="000A6564">
      <w:pPr>
        <w:jc w:val="both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b/>
          <w:color w:val="000000"/>
        </w:rPr>
        <w:t> </w:t>
      </w:r>
    </w:p>
    <w:p w:rsidR="001C18A2" w:rsidRDefault="000A6564">
      <w:pPr>
        <w:jc w:val="both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b/>
          <w:color w:val="000000"/>
        </w:rPr>
        <w:t> </w:t>
      </w:r>
    </w:p>
    <w:p w:rsidR="001C18A2" w:rsidRDefault="000A6564">
      <w:pPr>
        <w:jc w:val="both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b/>
          <w:color w:val="000000"/>
        </w:rPr>
        <w:t> </w:t>
      </w:r>
    </w:p>
    <w:p w:rsidR="001C18A2" w:rsidRDefault="000A6564">
      <w:pPr>
        <w:jc w:val="both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b/>
          <w:color w:val="000000"/>
        </w:rPr>
        <w:t> </w:t>
      </w:r>
    </w:p>
    <w:tbl>
      <w:tblPr>
        <w:tblW w:w="10065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5"/>
        <w:gridCol w:w="2599"/>
        <w:gridCol w:w="5381"/>
      </w:tblGrid>
      <w:tr w:rsidR="001C18A2">
        <w:trPr>
          <w:trHeight w:val="445"/>
          <w:jc w:val="center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ind w:left="140" w:firstLine="140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Пояснения</w:t>
            </w:r>
          </w:p>
        </w:tc>
      </w:tr>
      <w:tr w:rsidR="001C18A2">
        <w:trPr>
          <w:trHeight w:val="445"/>
          <w:jc w:val="center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C18A2" w:rsidRDefault="000A6564">
            <w:pPr>
              <w:shd w:val="clear" w:color="auto" w:fill="FFFFFF"/>
              <w:jc w:val="center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52 367 219,27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8A2" w:rsidRDefault="000A6564">
            <w:pPr>
              <w:shd w:val="clear" w:color="auto" w:fill="FFFFFF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Остаток по счету 1 207 00 000 в ф. 0503372 не соответствует идентичному показателю в балансе</w:t>
            </w:r>
          </w:p>
          <w:p w:rsidR="001C18A2" w:rsidRDefault="000A6564">
            <w:pPr>
              <w:shd w:val="clear" w:color="auto" w:fill="FFFFFF"/>
              <w:ind w:left="140" w:firstLine="140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Отражены долговые требования по необменным операциям счет 1 207 44 000 «Расчеты по иным долговым требованиям (займам (ссудам)».</w:t>
            </w:r>
          </w:p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соответствии с </w:t>
            </w:r>
            <w:hyperlink r:id="rId17">
              <w:r>
                <w:rPr>
                  <w:rStyle w:val="a4"/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none"/>
                </w:rPr>
                <w:t>п. 169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Инструкции № 191н в</w:t>
            </w:r>
          </w:p>
          <w:p w:rsidR="001C18A2" w:rsidRDefault="000A6564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ф. 0503172  (0503372) в графах 1, 2, 3 </w:t>
            </w:r>
            <w:hyperlink r:id="rId18">
              <w:r>
                <w:rPr>
                  <w:rStyle w:val="a4"/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none"/>
                </w:rPr>
                <w:t>Разделов 1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19">
              <w:r>
                <w:rPr>
                  <w:rStyle w:val="a4"/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none"/>
                </w:rPr>
                <w:t>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Приложения указываются номера соответствующих аналитических счетов счета 020700000 «Расчеты по кредитам, займам (ссудам)" (за исключением счета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020744000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«Расчеты по иным долговым требованиям (займам (ссудам)».</w:t>
            </w:r>
          </w:p>
        </w:tc>
      </w:tr>
    </w:tbl>
    <w:p w:rsidR="001C18A2" w:rsidRDefault="000A6564">
      <w:pPr>
        <w:spacing w:line="276" w:lineRule="auto"/>
        <w:ind w:left="280"/>
        <w:jc w:val="both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1C18A2" w:rsidRDefault="000A6564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</w:rPr>
        <w:t> </w:t>
      </w:r>
    </w:p>
    <w:p w:rsidR="001C18A2" w:rsidRDefault="000A6564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 7.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вложениях в объекты недвижимого имущества, объектах незавершенного строительства (ф. 0503190) </w:t>
      </w:r>
    </w:p>
    <w:p w:rsidR="001C18A2" w:rsidRDefault="000A6564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1C18A2" w:rsidRDefault="000A6564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Протокол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междокументального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 контроля</w:t>
      </w:r>
    </w:p>
    <w:p w:rsidR="001C18A2" w:rsidRDefault="000A6564">
      <w:pPr>
        <w:ind w:firstLine="720"/>
        <w:jc w:val="center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1C18A2" w:rsidRDefault="000A6564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Сумма фактических расходов (в связке ИНН гр.2, учетный номер гр.5, 6) на начало года не соответствует показателю предыдущего годового отчета (в связке ИНН гр.2, учетный номер гр.5, 6) – требует пояснения</w:t>
      </w:r>
    </w:p>
    <w:p w:rsidR="001C18A2" w:rsidRDefault="000A6564">
      <w:pPr>
        <w:ind w:firstLine="72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127"/>
        <w:gridCol w:w="4955"/>
      </w:tblGrid>
      <w:tr w:rsidR="001C18A2">
        <w:trPr>
          <w:trHeight w:val="356"/>
        </w:trPr>
        <w:tc>
          <w:tcPr>
            <w:tcW w:w="4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Суммы</w:t>
            </w:r>
          </w:p>
        </w:tc>
        <w:tc>
          <w:tcPr>
            <w:tcW w:w="4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Пояснения</w:t>
            </w: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2 275 236,75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4 136 694,24</w:t>
            </w:r>
          </w:p>
        </w:tc>
        <w:tc>
          <w:tcPr>
            <w:tcW w:w="4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ind w:firstLine="5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ind w:firstLine="5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годовой отчетности за 2021 год в </w:t>
            </w:r>
            <w:hyperlink r:id="rId20">
              <w:r>
                <w:rPr>
                  <w:rStyle w:val="a4"/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none"/>
                </w:rPr>
                <w:t>графе 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«Учетный номер объекта до его поступления» был указан ошибочный код объекта.</w:t>
            </w:r>
          </w:p>
          <w:p w:rsidR="001C18A2" w:rsidRDefault="000A6564">
            <w:pPr>
              <w:ind w:firstLine="540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годовой отчетности за 2022 год в графе 6 отражен учетный номер объекта, содержащий в 1 - 28 разрядах нули.</w:t>
            </w:r>
          </w:p>
          <w:p w:rsidR="001C18A2" w:rsidRDefault="000A6564">
            <w:pPr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2 836 339,70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760 380,00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28 868 620,39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3 309 210,76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6 886 080,00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-2 836 339,70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499 000,00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-61 987,18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55 032 718,82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-5 067 310,45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5 067 310,45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-4 136 694,24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-4 314 537,44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-28 868 620,39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-760 380,00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-6 886 080,00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-2 379 230,00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-1 000 000,00</w:t>
            </w:r>
          </w:p>
        </w:tc>
        <w:tc>
          <w:tcPr>
            <w:tcW w:w="4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объекта «Здание ГАУМО Спортивной школы по санному спорту, 184040, Мурманская область, город Кандалакша, Ул. Восточная, дом 7» из бюджета муниципального образования Мурманской области в бюджет субъекта. Смена учетного номера объекта в графах 5,6</w:t>
            </w: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4 314 537,44</w:t>
            </w:r>
          </w:p>
        </w:tc>
        <w:tc>
          <w:tcPr>
            <w:tcW w:w="4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связи с преобразованием городских округов (Апатиты, Кировск,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Ковдор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Мончегорск, Оленегорск, Полярные Зори) в муниципальные округа были внесены изменения в сводный реестр участников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неучастников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бюджетного процесса, что привело к изменению учетного номера объекта в графе 5 «Учетный код объекта на отчетную дату»</w:t>
            </w: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61 987,18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1 550 000,00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rPr>
          <w:trHeight w:val="294"/>
        </w:trPr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99 999,9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40 744,22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  <w:sz w:val="24"/>
              </w:rPr>
            </w:pPr>
          </w:p>
        </w:tc>
      </w:tr>
      <w:tr w:rsidR="001C18A2">
        <w:trPr>
          <w:trHeight w:val="307"/>
        </w:trPr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2 379 230,00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  <w:sz w:val="24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13 114 175,65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49 995,00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29 985 787,16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50 157 307,84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1 394 490,46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295 165,20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645 000,00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7 295 360,93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15 494 679,52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12 449 241,56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410 000,00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280 000,00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-2 108 744,00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3 034 750,00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-280 000,00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20 132,17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-65 709 740,89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382 163 224,27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-15 494 679,52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5 460 000,00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-3 025 415,35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3 025 415,35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-3 034 750,00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11 049 270,00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-2 000 000,00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20 580 904,10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-20 580 904,10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760 907,00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-20 132,17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1 380 992,09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-1 550 000,00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49995,00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-1 394 490,46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22 692 848,21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-295 165,20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65 709 740,89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-40 744,22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83 327 112,81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-15 000,00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2 108 744,00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-49 995,00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45 485 256,00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-7 295 360,93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-13 114 175,65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-83 327 112,81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-645 000,00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-50 157 307,84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-382 163 224,27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-15 000,00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-45 485 256,00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-410 000,00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-22 692 848,21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-2 275 236,75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-12 449 241,56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-49 995,00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-1 380 992,09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-99 999,90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-760 907,00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-29 985 787,16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-4 460 000,00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-55 032 718,82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-499 000,00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-11 049 270,00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  <w:tr w:rsidR="001C18A2"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0A6564">
            <w:pPr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18A2" w:rsidRDefault="001C18A2">
            <w:pPr>
              <w:rPr>
                <w:rFonts w:ascii="Courier New" w:eastAsia="Courier New" w:hAnsi="Courier New" w:cs="Courier New"/>
              </w:rPr>
            </w:pPr>
          </w:p>
        </w:tc>
      </w:tr>
    </w:tbl>
    <w:p w:rsidR="001C18A2" w:rsidRDefault="000A6564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vanish/>
          <w:color w:val="000000"/>
        </w:rPr>
        <w:t> </w:t>
      </w:r>
    </w:p>
    <w:tbl>
      <w:tblPr>
        <w:tblW w:w="915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2040"/>
        <w:gridCol w:w="4380"/>
      </w:tblGrid>
      <w:tr w:rsidR="001C18A2"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C18A2" w:rsidRDefault="000A6564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</w:rPr>
        <w:t> </w:t>
      </w:r>
    </w:p>
    <w:p w:rsidR="001C18A2" w:rsidRDefault="000A6564">
      <w:pPr>
        <w:shd w:val="clear" w:color="auto" w:fill="FFFFFF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1C18A2" w:rsidRDefault="000A6564">
      <w:pPr>
        <w:ind w:firstLine="28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8. Отклонение по контрольным соотношения взаимосвязанных показателей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Справочная таблица к отчету об исполнении консолидированного бюджета субъекта Российской Федерации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(ф. 0503387)</w:t>
      </w:r>
    </w:p>
    <w:p w:rsidR="001C18A2" w:rsidRDefault="000A6564">
      <w:pPr>
        <w:shd w:val="clear" w:color="auto" w:fill="FFFFFF"/>
        <w:ind w:right="20" w:firstLine="54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ind w:left="500" w:right="2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1C18A2" w:rsidRDefault="000A6564">
      <w:pPr>
        <w:shd w:val="clear" w:color="auto" w:fill="FFFFFF"/>
        <w:ind w:firstLine="28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8.1. Таблица 1 гр5 стр.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06100 &gt;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= ф0503317M т2 г.6 Фильтр: ВР = 310,320 - отклонения на сумму расходов по виду расходов 324 «Страховые взносы на обязательное медицинское страхование неработающего населения», которые   отражены в ф. 0503387 по строке 06001.</w:t>
      </w:r>
    </w:p>
    <w:p w:rsidR="001C18A2" w:rsidRDefault="000A6564">
      <w:pPr>
        <w:shd w:val="clear" w:color="auto" w:fill="FFFFFF"/>
        <w:ind w:firstLine="28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8.2. Письмо Минфина России от 27 мая 2016 г. N 06-02-11/30516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учетные работники относятся к органам местного самоуправления, возможно нарушение контрольных соотношений в связи с тем, что расходы на фонд оплаты труда, иные выплаты персоналу и взносы по обязательному социальному страхованию подлежат отражению как в строках 00210, 00220, 00230, так и в строках 00801, 00802, 00803).</w:t>
      </w:r>
    </w:p>
    <w:p w:rsidR="001C18A2" w:rsidRDefault="000A6564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</w:rPr>
        <w:t> </w:t>
      </w:r>
    </w:p>
    <w:p w:rsidR="001C18A2" w:rsidRDefault="000A6564">
      <w:pPr>
        <w:shd w:val="clear" w:color="auto" w:fill="FFFFFF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1C18A2" w:rsidRDefault="000A6564">
      <w:pPr>
        <w:shd w:val="clear" w:color="auto" w:fill="FFFFFF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 </w:t>
      </w:r>
    </w:p>
    <w:p w:rsidR="001C18A2" w:rsidRDefault="000A6564">
      <w:pPr>
        <w:shd w:val="clear" w:color="auto" w:fill="FFFFFF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1C18A2" w:rsidRDefault="000A6564">
      <w:pPr>
        <w:spacing w:after="300"/>
        <w:ind w:firstLine="540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ind w:firstLine="560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C18A2" w:rsidRDefault="000A6564">
      <w:pPr>
        <w:shd w:val="clear" w:color="auto" w:fill="FFFFFF"/>
        <w:spacing w:line="276" w:lineRule="auto"/>
        <w:ind w:firstLine="560"/>
        <w:jc w:val="both"/>
        <w:rPr>
          <w:rFonts w:ascii="Courier New" w:eastAsia="Courier New" w:hAnsi="Courier New" w:cs="Courier New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1C18A2" w:rsidRDefault="000A6564">
      <w:pPr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1C18A2" w:rsidRDefault="000A6564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</w:rPr>
        <w:t> </w:t>
      </w:r>
    </w:p>
    <w:tbl>
      <w:tblPr>
        <w:tblW w:w="0" w:type="auto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"/>
        <w:gridCol w:w="276"/>
        <w:gridCol w:w="276"/>
      </w:tblGrid>
      <w:tr w:rsidR="001C18A2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C18A2">
        <w:trPr>
          <w:trHeight w:val="2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18A2" w:rsidRDefault="000A6564">
            <w:pPr>
              <w:rPr>
                <w:rFonts w:ascii="Courier New" w:eastAsia="Courier New" w:hAnsi="Courier New" w:cs="Courier New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18A2" w:rsidRDefault="000A6564">
            <w:pPr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1C18A2" w:rsidRDefault="000A6564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</w:rPr>
        <w:t> </w:t>
      </w:r>
    </w:p>
    <w:p w:rsidR="001C18A2" w:rsidRDefault="001C18A2"/>
    <w:tbl>
      <w:tblPr>
        <w:tblW w:w="0" w:type="auto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"/>
        <w:gridCol w:w="222"/>
        <w:gridCol w:w="222"/>
      </w:tblGrid>
      <w:tr w:rsidR="001C18A2" w:rsidTr="001F692F">
        <w:trPr>
          <w:trHeight w:val="40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18A2" w:rsidRDefault="001C18A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18A2" w:rsidRDefault="001C18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18A2" w:rsidRDefault="001C18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bookmarkStart w:id="3" w:name="_GoBack"/>
            <w:bookmarkEnd w:id="3"/>
          </w:p>
        </w:tc>
      </w:tr>
      <w:tr w:rsidR="001C18A2" w:rsidTr="00484ECD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18A2" w:rsidRDefault="001C18A2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18A2" w:rsidRDefault="001C18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18A2" w:rsidRDefault="001C18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1C18A2" w:rsidRDefault="000A6564"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1C18A2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2835A"/>
    <w:multiLevelType w:val="hybridMultilevel"/>
    <w:tmpl w:val="EF5A03CA"/>
    <w:lvl w:ilvl="0" w:tplc="2431576D">
      <w:start w:val="2"/>
      <w:numFmt w:val="decimal"/>
      <w:lvlText w:val="%1."/>
      <w:lvlJc w:val="left"/>
      <w:pPr>
        <w:ind w:left="720" w:hanging="360"/>
      </w:pPr>
    </w:lvl>
    <w:lvl w:ilvl="1" w:tplc="173FDABB">
      <w:start w:val="2"/>
      <w:numFmt w:val="decimal"/>
      <w:lvlText w:val="%2."/>
      <w:lvlJc w:val="left"/>
      <w:pPr>
        <w:ind w:left="1440" w:hanging="360"/>
      </w:pPr>
    </w:lvl>
    <w:lvl w:ilvl="2" w:tplc="1160E89C">
      <w:start w:val="1"/>
      <w:numFmt w:val="decimal"/>
      <w:lvlText w:val="%3."/>
      <w:lvlJc w:val="left"/>
      <w:pPr>
        <w:ind w:left="2160" w:hanging="360"/>
      </w:pPr>
    </w:lvl>
    <w:lvl w:ilvl="3" w:tplc="0283D14C">
      <w:start w:val="1"/>
      <w:numFmt w:val="decimal"/>
      <w:lvlText w:val="%4."/>
      <w:lvlJc w:val="left"/>
      <w:pPr>
        <w:ind w:left="2880" w:hanging="360"/>
      </w:pPr>
    </w:lvl>
    <w:lvl w:ilvl="4" w:tplc="04BE5A3E">
      <w:start w:val="1"/>
      <w:numFmt w:val="decimal"/>
      <w:lvlText w:val="%5."/>
      <w:lvlJc w:val="left"/>
      <w:pPr>
        <w:ind w:left="3600" w:hanging="360"/>
      </w:pPr>
    </w:lvl>
    <w:lvl w:ilvl="5" w:tplc="0EAEFB98">
      <w:start w:val="1"/>
      <w:numFmt w:val="decimal"/>
      <w:lvlText w:val="%6."/>
      <w:lvlJc w:val="left"/>
      <w:pPr>
        <w:ind w:left="4320" w:hanging="360"/>
      </w:pPr>
    </w:lvl>
    <w:lvl w:ilvl="6" w:tplc="1321433F">
      <w:start w:val="1"/>
      <w:numFmt w:val="decimal"/>
      <w:lvlText w:val="%7."/>
      <w:lvlJc w:val="left"/>
      <w:pPr>
        <w:ind w:left="5040" w:hanging="360"/>
      </w:pPr>
    </w:lvl>
    <w:lvl w:ilvl="7" w:tplc="2D122FBB">
      <w:start w:val="1"/>
      <w:numFmt w:val="decimal"/>
      <w:lvlText w:val="%8."/>
      <w:lvlJc w:val="left"/>
      <w:pPr>
        <w:ind w:left="5760" w:hanging="360"/>
      </w:pPr>
    </w:lvl>
    <w:lvl w:ilvl="8" w:tplc="40A115AA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11212164"/>
    <w:multiLevelType w:val="hybridMultilevel"/>
    <w:tmpl w:val="44FE56A0"/>
    <w:lvl w:ilvl="0" w:tplc="51826C35">
      <w:start w:val="3"/>
      <w:numFmt w:val="decimal"/>
      <w:lvlText w:val="%1."/>
      <w:lvlJc w:val="left"/>
      <w:pPr>
        <w:ind w:left="720" w:hanging="360"/>
      </w:pPr>
    </w:lvl>
    <w:lvl w:ilvl="1" w:tplc="6F99A2EE">
      <w:start w:val="1"/>
      <w:numFmt w:val="decimal"/>
      <w:lvlText w:val="%2."/>
      <w:lvlJc w:val="left"/>
      <w:pPr>
        <w:ind w:left="1440" w:hanging="360"/>
      </w:pPr>
    </w:lvl>
    <w:lvl w:ilvl="2" w:tplc="189D60DE">
      <w:start w:val="1"/>
      <w:numFmt w:val="decimal"/>
      <w:lvlText w:val="%3."/>
      <w:lvlJc w:val="left"/>
      <w:pPr>
        <w:ind w:left="2160" w:hanging="360"/>
      </w:pPr>
    </w:lvl>
    <w:lvl w:ilvl="3" w:tplc="365B7D26">
      <w:start w:val="1"/>
      <w:numFmt w:val="decimal"/>
      <w:lvlText w:val="%4."/>
      <w:lvlJc w:val="left"/>
      <w:pPr>
        <w:ind w:left="2880" w:hanging="360"/>
      </w:pPr>
    </w:lvl>
    <w:lvl w:ilvl="4" w:tplc="0FE1F6ED">
      <w:start w:val="1"/>
      <w:numFmt w:val="decimal"/>
      <w:lvlText w:val="%5."/>
      <w:lvlJc w:val="left"/>
      <w:pPr>
        <w:ind w:left="3600" w:hanging="360"/>
      </w:pPr>
    </w:lvl>
    <w:lvl w:ilvl="5" w:tplc="3DA8DC50">
      <w:start w:val="1"/>
      <w:numFmt w:val="decimal"/>
      <w:lvlText w:val="%6."/>
      <w:lvlJc w:val="left"/>
      <w:pPr>
        <w:ind w:left="4320" w:hanging="360"/>
      </w:pPr>
    </w:lvl>
    <w:lvl w:ilvl="6" w:tplc="7677AE06">
      <w:start w:val="1"/>
      <w:numFmt w:val="decimal"/>
      <w:lvlText w:val="%7."/>
      <w:lvlJc w:val="left"/>
      <w:pPr>
        <w:ind w:left="5040" w:hanging="360"/>
      </w:pPr>
    </w:lvl>
    <w:lvl w:ilvl="7" w:tplc="0F083A22">
      <w:start w:val="1"/>
      <w:numFmt w:val="decimal"/>
      <w:lvlText w:val="%8."/>
      <w:lvlJc w:val="left"/>
      <w:pPr>
        <w:ind w:left="5760" w:hanging="360"/>
      </w:pPr>
    </w:lvl>
    <w:lvl w:ilvl="8" w:tplc="08C336FC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14849716"/>
    <w:multiLevelType w:val="hybridMultilevel"/>
    <w:tmpl w:val="145C58FA"/>
    <w:lvl w:ilvl="0" w:tplc="34F0B5BB">
      <w:start w:val="23"/>
      <w:numFmt w:val="decimal"/>
      <w:lvlText w:val="%1."/>
      <w:lvlJc w:val="left"/>
      <w:pPr>
        <w:ind w:left="720" w:hanging="360"/>
      </w:pPr>
    </w:lvl>
    <w:lvl w:ilvl="1" w:tplc="220555EB">
      <w:start w:val="1"/>
      <w:numFmt w:val="decimal"/>
      <w:lvlText w:val="%2."/>
      <w:lvlJc w:val="left"/>
      <w:pPr>
        <w:ind w:left="1440" w:hanging="360"/>
      </w:pPr>
    </w:lvl>
    <w:lvl w:ilvl="2" w:tplc="44042C27">
      <w:start w:val="1"/>
      <w:numFmt w:val="decimal"/>
      <w:lvlText w:val="%3."/>
      <w:lvlJc w:val="left"/>
      <w:pPr>
        <w:ind w:left="2160" w:hanging="360"/>
      </w:pPr>
    </w:lvl>
    <w:lvl w:ilvl="3" w:tplc="12060FDD">
      <w:start w:val="1"/>
      <w:numFmt w:val="decimal"/>
      <w:lvlText w:val="%4."/>
      <w:lvlJc w:val="left"/>
      <w:pPr>
        <w:ind w:left="2880" w:hanging="360"/>
      </w:pPr>
    </w:lvl>
    <w:lvl w:ilvl="4" w:tplc="2A8DA72B">
      <w:start w:val="1"/>
      <w:numFmt w:val="decimal"/>
      <w:lvlText w:val="%5."/>
      <w:lvlJc w:val="left"/>
      <w:pPr>
        <w:ind w:left="3600" w:hanging="360"/>
      </w:pPr>
    </w:lvl>
    <w:lvl w:ilvl="5" w:tplc="46B728A9">
      <w:start w:val="1"/>
      <w:numFmt w:val="decimal"/>
      <w:lvlText w:val="%6."/>
      <w:lvlJc w:val="left"/>
      <w:pPr>
        <w:ind w:left="4320" w:hanging="360"/>
      </w:pPr>
    </w:lvl>
    <w:lvl w:ilvl="6" w:tplc="7267134E">
      <w:start w:val="1"/>
      <w:numFmt w:val="decimal"/>
      <w:lvlText w:val="%7."/>
      <w:lvlJc w:val="left"/>
      <w:pPr>
        <w:ind w:left="5040" w:hanging="360"/>
      </w:pPr>
    </w:lvl>
    <w:lvl w:ilvl="7" w:tplc="16F1AF19">
      <w:start w:val="1"/>
      <w:numFmt w:val="decimal"/>
      <w:lvlText w:val="%8."/>
      <w:lvlJc w:val="left"/>
      <w:pPr>
        <w:ind w:left="5760" w:hanging="360"/>
      </w:pPr>
    </w:lvl>
    <w:lvl w:ilvl="8" w:tplc="13A53A75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16B1F5D4"/>
    <w:multiLevelType w:val="hybridMultilevel"/>
    <w:tmpl w:val="B46AF0A2"/>
    <w:lvl w:ilvl="0" w:tplc="7CE0665C">
      <w:start w:val="1"/>
      <w:numFmt w:val="decimal"/>
      <w:lvlText w:val="%1."/>
      <w:lvlJc w:val="left"/>
      <w:pPr>
        <w:ind w:left="720" w:hanging="360"/>
      </w:pPr>
    </w:lvl>
    <w:lvl w:ilvl="1" w:tplc="35763FD2">
      <w:start w:val="1"/>
      <w:numFmt w:val="decimal"/>
      <w:lvlText w:val="%2."/>
      <w:lvlJc w:val="left"/>
      <w:pPr>
        <w:ind w:left="1440" w:hanging="360"/>
      </w:pPr>
    </w:lvl>
    <w:lvl w:ilvl="2" w:tplc="75887386">
      <w:start w:val="1"/>
      <w:numFmt w:val="decimal"/>
      <w:lvlText w:val="%3."/>
      <w:lvlJc w:val="left"/>
      <w:pPr>
        <w:ind w:left="2160" w:hanging="360"/>
      </w:pPr>
    </w:lvl>
    <w:lvl w:ilvl="3" w:tplc="022C0281">
      <w:start w:val="1"/>
      <w:numFmt w:val="decimal"/>
      <w:lvlText w:val="%4."/>
      <w:lvlJc w:val="left"/>
      <w:pPr>
        <w:ind w:left="2880" w:hanging="360"/>
      </w:pPr>
    </w:lvl>
    <w:lvl w:ilvl="4" w:tplc="533BAE92">
      <w:start w:val="1"/>
      <w:numFmt w:val="decimal"/>
      <w:lvlText w:val="%5."/>
      <w:lvlJc w:val="left"/>
      <w:pPr>
        <w:ind w:left="3600" w:hanging="360"/>
      </w:pPr>
    </w:lvl>
    <w:lvl w:ilvl="5" w:tplc="7F5AD8BD">
      <w:start w:val="1"/>
      <w:numFmt w:val="decimal"/>
      <w:lvlText w:val="%6."/>
      <w:lvlJc w:val="left"/>
      <w:pPr>
        <w:ind w:left="4320" w:hanging="360"/>
      </w:pPr>
    </w:lvl>
    <w:lvl w:ilvl="6" w:tplc="57F62A20">
      <w:start w:val="1"/>
      <w:numFmt w:val="decimal"/>
      <w:lvlText w:val="%7."/>
      <w:lvlJc w:val="left"/>
      <w:pPr>
        <w:ind w:left="5040" w:hanging="360"/>
      </w:pPr>
    </w:lvl>
    <w:lvl w:ilvl="7" w:tplc="3E073193">
      <w:start w:val="1"/>
      <w:numFmt w:val="decimal"/>
      <w:lvlText w:val="%8."/>
      <w:lvlJc w:val="left"/>
      <w:pPr>
        <w:ind w:left="5760" w:hanging="360"/>
      </w:pPr>
    </w:lvl>
    <w:lvl w:ilvl="8" w:tplc="1C47E849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29A7CA9F"/>
    <w:multiLevelType w:val="hybridMultilevel"/>
    <w:tmpl w:val="BC4C3CDC"/>
    <w:lvl w:ilvl="0" w:tplc="301C4705">
      <w:start w:val="5"/>
      <w:numFmt w:val="decimal"/>
      <w:lvlText w:val="%1."/>
      <w:lvlJc w:val="left"/>
      <w:pPr>
        <w:ind w:left="720" w:hanging="360"/>
      </w:pPr>
    </w:lvl>
    <w:lvl w:ilvl="1" w:tplc="1B62BDAF">
      <w:start w:val="1"/>
      <w:numFmt w:val="decimal"/>
      <w:lvlText w:val="%2."/>
      <w:lvlJc w:val="left"/>
      <w:pPr>
        <w:ind w:left="1440" w:hanging="360"/>
      </w:pPr>
    </w:lvl>
    <w:lvl w:ilvl="2" w:tplc="293A8B42">
      <w:start w:val="1"/>
      <w:numFmt w:val="decimal"/>
      <w:lvlText w:val="%3."/>
      <w:lvlJc w:val="left"/>
      <w:pPr>
        <w:ind w:left="2160" w:hanging="360"/>
      </w:pPr>
    </w:lvl>
    <w:lvl w:ilvl="3" w:tplc="3225E7B9">
      <w:start w:val="1"/>
      <w:numFmt w:val="decimal"/>
      <w:lvlText w:val="%4."/>
      <w:lvlJc w:val="left"/>
      <w:pPr>
        <w:ind w:left="2880" w:hanging="360"/>
      </w:pPr>
    </w:lvl>
    <w:lvl w:ilvl="4" w:tplc="4DB66F7F">
      <w:start w:val="1"/>
      <w:numFmt w:val="decimal"/>
      <w:lvlText w:val="%5."/>
      <w:lvlJc w:val="left"/>
      <w:pPr>
        <w:ind w:left="3600" w:hanging="360"/>
      </w:pPr>
    </w:lvl>
    <w:lvl w:ilvl="5" w:tplc="04FB7362">
      <w:start w:val="1"/>
      <w:numFmt w:val="decimal"/>
      <w:lvlText w:val="%6."/>
      <w:lvlJc w:val="left"/>
      <w:pPr>
        <w:ind w:left="4320" w:hanging="360"/>
      </w:pPr>
    </w:lvl>
    <w:lvl w:ilvl="6" w:tplc="2D67DBDE">
      <w:start w:val="1"/>
      <w:numFmt w:val="decimal"/>
      <w:lvlText w:val="%7."/>
      <w:lvlJc w:val="left"/>
      <w:pPr>
        <w:ind w:left="5040" w:hanging="360"/>
      </w:pPr>
    </w:lvl>
    <w:lvl w:ilvl="7" w:tplc="690C74F5">
      <w:start w:val="1"/>
      <w:numFmt w:val="decimal"/>
      <w:lvlText w:val="%8."/>
      <w:lvlJc w:val="left"/>
      <w:pPr>
        <w:ind w:left="5760" w:hanging="360"/>
      </w:pPr>
    </w:lvl>
    <w:lvl w:ilvl="8" w:tplc="190DA5A0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454C59D7"/>
    <w:multiLevelType w:val="hybridMultilevel"/>
    <w:tmpl w:val="1A0A5D88"/>
    <w:lvl w:ilvl="0" w:tplc="0D047617">
      <w:start w:val="4"/>
      <w:numFmt w:val="decimal"/>
      <w:lvlText w:val="%1."/>
      <w:lvlJc w:val="left"/>
      <w:pPr>
        <w:ind w:left="720" w:hanging="360"/>
      </w:pPr>
    </w:lvl>
    <w:lvl w:ilvl="1" w:tplc="1DBFF848">
      <w:start w:val="1"/>
      <w:numFmt w:val="decimal"/>
      <w:lvlText w:val="%2."/>
      <w:lvlJc w:val="left"/>
      <w:pPr>
        <w:ind w:left="1440" w:hanging="360"/>
      </w:pPr>
    </w:lvl>
    <w:lvl w:ilvl="2" w:tplc="1A0564F3">
      <w:start w:val="1"/>
      <w:numFmt w:val="decimal"/>
      <w:lvlText w:val="%3."/>
      <w:lvlJc w:val="left"/>
      <w:pPr>
        <w:ind w:left="2160" w:hanging="360"/>
      </w:pPr>
    </w:lvl>
    <w:lvl w:ilvl="3" w:tplc="12EC5B34">
      <w:start w:val="1"/>
      <w:numFmt w:val="decimal"/>
      <w:lvlText w:val="%4."/>
      <w:lvlJc w:val="left"/>
      <w:pPr>
        <w:ind w:left="2880" w:hanging="360"/>
      </w:pPr>
    </w:lvl>
    <w:lvl w:ilvl="4" w:tplc="02BB009F">
      <w:start w:val="1"/>
      <w:numFmt w:val="decimal"/>
      <w:lvlText w:val="%5."/>
      <w:lvlJc w:val="left"/>
      <w:pPr>
        <w:ind w:left="3600" w:hanging="360"/>
      </w:pPr>
    </w:lvl>
    <w:lvl w:ilvl="5" w:tplc="12136DBB">
      <w:start w:val="1"/>
      <w:numFmt w:val="decimal"/>
      <w:lvlText w:val="%6."/>
      <w:lvlJc w:val="left"/>
      <w:pPr>
        <w:ind w:left="4320" w:hanging="360"/>
      </w:pPr>
    </w:lvl>
    <w:lvl w:ilvl="6" w:tplc="5895923C">
      <w:start w:val="1"/>
      <w:numFmt w:val="decimal"/>
      <w:lvlText w:val="%7."/>
      <w:lvlJc w:val="left"/>
      <w:pPr>
        <w:ind w:left="5040" w:hanging="360"/>
      </w:pPr>
    </w:lvl>
    <w:lvl w:ilvl="7" w:tplc="5B29E7EE">
      <w:start w:val="1"/>
      <w:numFmt w:val="decimal"/>
      <w:lvlText w:val="%8."/>
      <w:lvlJc w:val="left"/>
      <w:pPr>
        <w:ind w:left="5760" w:hanging="360"/>
      </w:pPr>
    </w:lvl>
    <w:lvl w:ilvl="8" w:tplc="7ADB3B6C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59FEC4D0"/>
    <w:multiLevelType w:val="hybridMultilevel"/>
    <w:tmpl w:val="CEFA03B8"/>
    <w:lvl w:ilvl="0" w:tplc="430A30C0">
      <w:start w:val="6"/>
      <w:numFmt w:val="decimal"/>
      <w:lvlText w:val="%1."/>
      <w:lvlJc w:val="left"/>
      <w:pPr>
        <w:ind w:left="720" w:hanging="360"/>
      </w:pPr>
    </w:lvl>
    <w:lvl w:ilvl="1" w:tplc="4684EA35">
      <w:start w:val="1"/>
      <w:numFmt w:val="decimal"/>
      <w:lvlText w:val="%2."/>
      <w:lvlJc w:val="left"/>
      <w:pPr>
        <w:ind w:left="1440" w:hanging="360"/>
      </w:pPr>
    </w:lvl>
    <w:lvl w:ilvl="2" w:tplc="259449E4">
      <w:start w:val="1"/>
      <w:numFmt w:val="decimal"/>
      <w:lvlText w:val="%3."/>
      <w:lvlJc w:val="left"/>
      <w:pPr>
        <w:ind w:left="2160" w:hanging="360"/>
      </w:pPr>
    </w:lvl>
    <w:lvl w:ilvl="3" w:tplc="37DF9836">
      <w:start w:val="1"/>
      <w:numFmt w:val="decimal"/>
      <w:lvlText w:val="%4."/>
      <w:lvlJc w:val="left"/>
      <w:pPr>
        <w:ind w:left="2880" w:hanging="360"/>
      </w:pPr>
    </w:lvl>
    <w:lvl w:ilvl="4" w:tplc="0BB4547A">
      <w:start w:val="1"/>
      <w:numFmt w:val="decimal"/>
      <w:lvlText w:val="%5."/>
      <w:lvlJc w:val="left"/>
      <w:pPr>
        <w:ind w:left="3600" w:hanging="360"/>
      </w:pPr>
    </w:lvl>
    <w:lvl w:ilvl="5" w:tplc="4433756F">
      <w:start w:val="1"/>
      <w:numFmt w:val="decimal"/>
      <w:lvlText w:val="%6."/>
      <w:lvlJc w:val="left"/>
      <w:pPr>
        <w:ind w:left="4320" w:hanging="360"/>
      </w:pPr>
    </w:lvl>
    <w:lvl w:ilvl="6" w:tplc="7697A2C0">
      <w:start w:val="1"/>
      <w:numFmt w:val="decimal"/>
      <w:lvlText w:val="%7."/>
      <w:lvlJc w:val="left"/>
      <w:pPr>
        <w:ind w:left="5040" w:hanging="360"/>
      </w:pPr>
    </w:lvl>
    <w:lvl w:ilvl="7" w:tplc="4AF1B508">
      <w:start w:val="1"/>
      <w:numFmt w:val="decimal"/>
      <w:lvlText w:val="%8."/>
      <w:lvlJc w:val="left"/>
      <w:pPr>
        <w:ind w:left="5760" w:hanging="360"/>
      </w:pPr>
    </w:lvl>
    <w:lvl w:ilvl="8" w:tplc="20473A4B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694339C4"/>
    <w:multiLevelType w:val="hybridMultilevel"/>
    <w:tmpl w:val="1EC269A2"/>
    <w:lvl w:ilvl="0" w:tplc="0519712E">
      <w:start w:val="2"/>
      <w:numFmt w:val="decimal"/>
      <w:lvlText w:val="%1."/>
      <w:lvlJc w:val="left"/>
      <w:pPr>
        <w:ind w:left="720" w:hanging="360"/>
      </w:pPr>
    </w:lvl>
    <w:lvl w:ilvl="1" w:tplc="49B0CC7E">
      <w:start w:val="3"/>
      <w:numFmt w:val="decimal"/>
      <w:lvlText w:val="%2."/>
      <w:lvlJc w:val="left"/>
      <w:pPr>
        <w:ind w:left="1440" w:hanging="360"/>
      </w:pPr>
    </w:lvl>
    <w:lvl w:ilvl="2" w:tplc="4185BA13">
      <w:start w:val="1"/>
      <w:numFmt w:val="decimal"/>
      <w:lvlText w:val="%3."/>
      <w:lvlJc w:val="left"/>
      <w:pPr>
        <w:ind w:left="2160" w:hanging="360"/>
      </w:pPr>
    </w:lvl>
    <w:lvl w:ilvl="3" w:tplc="2C4EEF87">
      <w:start w:val="1"/>
      <w:numFmt w:val="decimal"/>
      <w:lvlText w:val="%4."/>
      <w:lvlJc w:val="left"/>
      <w:pPr>
        <w:ind w:left="2880" w:hanging="360"/>
      </w:pPr>
    </w:lvl>
    <w:lvl w:ilvl="4" w:tplc="00FF8D6B">
      <w:start w:val="1"/>
      <w:numFmt w:val="decimal"/>
      <w:lvlText w:val="%5."/>
      <w:lvlJc w:val="left"/>
      <w:pPr>
        <w:ind w:left="3600" w:hanging="360"/>
      </w:pPr>
    </w:lvl>
    <w:lvl w:ilvl="5" w:tplc="0DF55768">
      <w:start w:val="1"/>
      <w:numFmt w:val="decimal"/>
      <w:lvlText w:val="%6."/>
      <w:lvlJc w:val="left"/>
      <w:pPr>
        <w:ind w:left="4320" w:hanging="360"/>
      </w:pPr>
    </w:lvl>
    <w:lvl w:ilvl="6" w:tplc="3A8EE12C">
      <w:start w:val="1"/>
      <w:numFmt w:val="decimal"/>
      <w:lvlText w:val="%7."/>
      <w:lvlJc w:val="left"/>
      <w:pPr>
        <w:ind w:left="5040" w:hanging="360"/>
      </w:pPr>
    </w:lvl>
    <w:lvl w:ilvl="7" w:tplc="08A74890">
      <w:start w:val="1"/>
      <w:numFmt w:val="decimal"/>
      <w:lvlText w:val="%8."/>
      <w:lvlJc w:val="left"/>
      <w:pPr>
        <w:ind w:left="5760" w:hanging="360"/>
      </w:pPr>
    </w:lvl>
    <w:lvl w:ilvl="8" w:tplc="5BA7909F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7E7161E5"/>
    <w:multiLevelType w:val="hybridMultilevel"/>
    <w:tmpl w:val="535A2B02"/>
    <w:lvl w:ilvl="0" w:tplc="7C2F9425">
      <w:start w:val="2"/>
      <w:numFmt w:val="decimal"/>
      <w:lvlText w:val="%1."/>
      <w:lvlJc w:val="left"/>
      <w:pPr>
        <w:ind w:left="720" w:hanging="360"/>
      </w:pPr>
    </w:lvl>
    <w:lvl w:ilvl="1" w:tplc="196CF646">
      <w:start w:val="1"/>
      <w:numFmt w:val="decimal"/>
      <w:lvlText w:val="%2."/>
      <w:lvlJc w:val="left"/>
      <w:pPr>
        <w:ind w:left="1440" w:hanging="360"/>
      </w:pPr>
    </w:lvl>
    <w:lvl w:ilvl="2" w:tplc="1084CFA4">
      <w:start w:val="1"/>
      <w:numFmt w:val="decimal"/>
      <w:lvlText w:val="%3."/>
      <w:lvlJc w:val="left"/>
      <w:pPr>
        <w:ind w:left="2160" w:hanging="360"/>
      </w:pPr>
    </w:lvl>
    <w:lvl w:ilvl="3" w:tplc="69B6B37E">
      <w:start w:val="1"/>
      <w:numFmt w:val="decimal"/>
      <w:lvlText w:val="%4."/>
      <w:lvlJc w:val="left"/>
      <w:pPr>
        <w:ind w:left="2880" w:hanging="360"/>
      </w:pPr>
    </w:lvl>
    <w:lvl w:ilvl="4" w:tplc="2076423C">
      <w:start w:val="1"/>
      <w:numFmt w:val="decimal"/>
      <w:lvlText w:val="%5."/>
      <w:lvlJc w:val="left"/>
      <w:pPr>
        <w:ind w:left="3600" w:hanging="360"/>
      </w:pPr>
    </w:lvl>
    <w:lvl w:ilvl="5" w:tplc="0F5FD35A">
      <w:start w:val="1"/>
      <w:numFmt w:val="decimal"/>
      <w:lvlText w:val="%6."/>
      <w:lvlJc w:val="left"/>
      <w:pPr>
        <w:ind w:left="4320" w:hanging="360"/>
      </w:pPr>
    </w:lvl>
    <w:lvl w:ilvl="6" w:tplc="5E988006">
      <w:start w:val="1"/>
      <w:numFmt w:val="decimal"/>
      <w:lvlText w:val="%7."/>
      <w:lvlJc w:val="left"/>
      <w:pPr>
        <w:ind w:left="5040" w:hanging="360"/>
      </w:pPr>
    </w:lvl>
    <w:lvl w:ilvl="7" w:tplc="7C041A07">
      <w:start w:val="1"/>
      <w:numFmt w:val="decimal"/>
      <w:lvlText w:val="%8."/>
      <w:lvlJc w:val="left"/>
      <w:pPr>
        <w:ind w:left="5760" w:hanging="360"/>
      </w:pPr>
    </w:lvl>
    <w:lvl w:ilvl="8" w:tplc="608D7B8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A2"/>
    <w:rsid w:val="000A6564"/>
    <w:rsid w:val="001C18A2"/>
    <w:rsid w:val="001F692F"/>
    <w:rsid w:val="00484ECD"/>
    <w:rsid w:val="00C0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915CB9-B5A7-4039-A81E-52B6E419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consultantplus://offline/ref=1A064DE2EF1A7D73F1094D9E74DD88691946DD2AF1C32BF751922A8DFA8B98D080BB588EB0AD2FDAFB2BD2E1196B0C15859EEF0EF8SC56F" TargetMode="External"/><Relationship Id="rId18" Type="http://schemas.openxmlformats.org/officeDocument/2006/relationships/hyperlink" Target="consultantplus://offline/ref=1A064DE2EF1A7D73F1094D9E74DD88691946DD2AF1C32BF751922A8DFA8B98D080BB588EB0AD2FDAFB2BD2E1196B0C15859EEF0EF8SC56F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hyperlink" Target="consultantplus://offline/ref=C5F536AEFD953BFE3B8D7F79BDDBE45C2ADD8ECBD4D3D7F888FB35889BE9A618A675C631F14921E4C0ED86D73056D17D1A43FBDB21V263F" TargetMode="External"/><Relationship Id="rId17" Type="http://schemas.openxmlformats.org/officeDocument/2006/relationships/hyperlink" Target="consultantplus://offline/ref=C5F536AEFD953BFE3B8D7F79BDDBE45C2ADD8ECBD4D3D7F888FB35889BE9A618A675C631F14921E4C0ED86D73056D17D1A43FBDB21V263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4A89A89923C1A255D35A4ABC5D71262812F03978D5988164C6685F88A785589759FA1D4DC92CD02B1EF431DF143848B1AAC86A4F25Ej9J" TargetMode="External"/><Relationship Id="rId20" Type="http://schemas.openxmlformats.org/officeDocument/2006/relationships/hyperlink" Target="consultantplus://offline/ref=0AA65C1FB27D8ED370BFD686EE1F5E2CC7CC6CE0B312DE82205B9828D9E74C26CBDC9530CD08F3D68CDE78849469BABD7EDE7586D2991570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consultantplus://offline/ref=01440B8838A6B3B70B3DBE5D7E776504224A8BEB89256E384333CD4E8E8A437C2BBB0CC51C902D850627CE241877AEC51B921A49DD452DE9z8uDF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2B70F4A297CDB716C9D486DADE54556F0D840441E4B98A028837B60814A38A57864AA2FEA1D0BF3DB764938559F65D38AFA94488F43CCFFBR0IBO" TargetMode="External"/><Relationship Id="rId10" Type="http://schemas.openxmlformats.org/officeDocument/2006/relationships/hyperlink" Target="consultantplus://offline/ref=F45025E39BD1D983561919ED0295A457B3FFEAEC61F020780384745772B53F21BD2B4F532E61A350A8E631E38B1BB36EB971564DD2B011ABu04DH" TargetMode="External"/><Relationship Id="rId19" Type="http://schemas.openxmlformats.org/officeDocument/2006/relationships/hyperlink" Target="consultantplus://offline/ref=1A064DE2EF1A7D73F1094D9E74DD88691946DD2AF1C32BF751922A8DFA8B98D080BB588EB0A92FDAFB2BD2E1196B0C15859EEF0EF8SC56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consultantplus://offline/ref=1A064DE2EF1A7D73F1094D9E74DD88691946DD2AF1C32BF751922A8DFA8B98D080BB588EB0A92FDAFB2BD2E1196B0C15859EEF0EF8SC56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6428</Words>
  <Characters>36646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Кичангина О.В.</dc:creator>
  <cp:lastModifiedBy>Кичангина О.В.</cp:lastModifiedBy>
  <cp:revision>5</cp:revision>
  <dcterms:created xsi:type="dcterms:W3CDTF">2023-05-02T06:05:00Z</dcterms:created>
  <dcterms:modified xsi:type="dcterms:W3CDTF">2023-05-05T07:06:00Z</dcterms:modified>
</cp:coreProperties>
</file>