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6B7" w:rsidRDefault="00FE66B7" w:rsidP="00FE66B7">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7</w:t>
      </w:r>
    </w:p>
    <w:p w:rsidR="00FE66B7" w:rsidRDefault="00FE66B7" w:rsidP="00FE66B7">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 Программе</w:t>
      </w:r>
    </w:p>
    <w:p w:rsidR="00FE66B7" w:rsidRDefault="00FE66B7" w:rsidP="00FE66B7">
      <w:pPr>
        <w:autoSpaceDE w:val="0"/>
        <w:autoSpaceDN w:val="0"/>
        <w:adjustRightInd w:val="0"/>
        <w:spacing w:after="0" w:line="240" w:lineRule="auto"/>
        <w:jc w:val="both"/>
        <w:rPr>
          <w:rFonts w:ascii="Times New Roman" w:hAnsi="Times New Roman" w:cs="Times New Roman"/>
          <w:sz w:val="28"/>
          <w:szCs w:val="28"/>
        </w:rPr>
      </w:pPr>
    </w:p>
    <w:p w:rsidR="00FE66B7" w:rsidRDefault="00FE66B7" w:rsidP="00FE66B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МЕТОДИКА</w:t>
      </w:r>
    </w:p>
    <w:p w:rsidR="00FE66B7" w:rsidRDefault="00FE66B7" w:rsidP="00FE66B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РАСЧЕТА ОБЪЕМА СОФИНАНСИРОВАНИЯ ЗА СЧЕТ СРЕДСТВ</w:t>
      </w:r>
    </w:p>
    <w:p w:rsidR="00FE66B7" w:rsidRDefault="00FE66B7" w:rsidP="00FE66B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БЮДЖЕТОВ МУНИЦИПАЛЬНЫХ ОБРАЗОВАНИЙ МЕРОПРИЯТИЙ</w:t>
      </w:r>
    </w:p>
    <w:p w:rsidR="00FE66B7" w:rsidRDefault="00FE66B7" w:rsidP="00FE66B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ПО ПЕРЕСЕЛЕНИЮ ГРАЖДАН ИЗ </w:t>
      </w:r>
      <w:proofErr w:type="gramStart"/>
      <w:r>
        <w:rPr>
          <w:rFonts w:ascii="Times New Roman" w:hAnsi="Times New Roman" w:cs="Times New Roman"/>
          <w:b/>
          <w:bCs/>
          <w:sz w:val="28"/>
          <w:szCs w:val="28"/>
        </w:rPr>
        <w:t>АВАРИЙНОГО</w:t>
      </w:r>
      <w:proofErr w:type="gramEnd"/>
      <w:r>
        <w:rPr>
          <w:rFonts w:ascii="Times New Roman" w:hAnsi="Times New Roman" w:cs="Times New Roman"/>
          <w:b/>
          <w:bCs/>
          <w:sz w:val="28"/>
          <w:szCs w:val="28"/>
        </w:rPr>
        <w:t xml:space="preserve"> ЖИЛИЩНОГО</w:t>
      </w:r>
    </w:p>
    <w:p w:rsidR="00FE66B7" w:rsidRDefault="00FE66B7" w:rsidP="00FE66B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ФОНДА В РАМКАХ </w:t>
      </w:r>
      <w:hyperlink r:id="rId4" w:history="1">
        <w:r>
          <w:rPr>
            <w:rFonts w:ascii="Times New Roman" w:hAnsi="Times New Roman" w:cs="Times New Roman"/>
            <w:b/>
            <w:bCs/>
            <w:color w:val="0000FF"/>
            <w:sz w:val="28"/>
            <w:szCs w:val="28"/>
          </w:rPr>
          <w:t>ПРОГРАММЫ</w:t>
        </w:r>
      </w:hyperlink>
      <w:r>
        <w:rPr>
          <w:rFonts w:ascii="Times New Roman" w:hAnsi="Times New Roman" w:cs="Times New Roman"/>
          <w:b/>
          <w:bCs/>
          <w:sz w:val="28"/>
          <w:szCs w:val="28"/>
        </w:rPr>
        <w:t xml:space="preserve"> В 2014 - 2017 ГОДАХ</w:t>
      </w:r>
    </w:p>
    <w:p w:rsidR="00FE66B7" w:rsidRDefault="00FE66B7" w:rsidP="00FE66B7">
      <w:pPr>
        <w:autoSpaceDE w:val="0"/>
        <w:autoSpaceDN w:val="0"/>
        <w:adjustRightInd w:val="0"/>
        <w:spacing w:after="0" w:line="240" w:lineRule="auto"/>
        <w:jc w:val="both"/>
        <w:rPr>
          <w:rFonts w:ascii="Times New Roman" w:hAnsi="Times New Roman" w:cs="Times New Roman"/>
          <w:sz w:val="28"/>
          <w:szCs w:val="28"/>
        </w:rPr>
      </w:pP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Настоящая Методика определяет порядок и условия расчета объема софинансирования за счет средств муниципальных образований на оплату стоимости одного квадратного метра общей площади жилых помещений, приобретаемых для переселения граждан из аварийного жилищного фонда.</w:t>
      </w: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Объем софинансирования для каждого муниципального образования рассчитывается по следующей формуле:</w:t>
      </w:r>
    </w:p>
    <w:p w:rsidR="00FE66B7" w:rsidRDefault="00FE66B7" w:rsidP="00FE66B7">
      <w:pPr>
        <w:autoSpaceDE w:val="0"/>
        <w:autoSpaceDN w:val="0"/>
        <w:adjustRightInd w:val="0"/>
        <w:spacing w:after="0" w:line="240" w:lineRule="auto"/>
        <w:jc w:val="both"/>
        <w:rPr>
          <w:rFonts w:ascii="Times New Roman" w:hAnsi="Times New Roman" w:cs="Times New Roman"/>
          <w:sz w:val="28"/>
          <w:szCs w:val="28"/>
        </w:rPr>
      </w:pP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Q</w:t>
      </w:r>
      <w:r>
        <w:rPr>
          <w:rFonts w:ascii="Times New Roman" w:hAnsi="Times New Roman" w:cs="Times New Roman"/>
          <w:sz w:val="28"/>
          <w:szCs w:val="28"/>
          <w:vertAlign w:val="subscript"/>
        </w:rPr>
        <w:t>i</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S</w:t>
      </w:r>
      <w:r>
        <w:rPr>
          <w:rFonts w:ascii="Times New Roman" w:hAnsi="Times New Roman" w:cs="Times New Roman"/>
          <w:sz w:val="28"/>
          <w:szCs w:val="28"/>
          <w:vertAlign w:val="subscript"/>
        </w:rPr>
        <w:t>ав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C</w:t>
      </w:r>
      <w:proofErr w:type="gramEnd"/>
      <w:r>
        <w:rPr>
          <w:rFonts w:ascii="Times New Roman" w:hAnsi="Times New Roman" w:cs="Times New Roman"/>
          <w:sz w:val="28"/>
          <w:szCs w:val="28"/>
          <w:vertAlign w:val="subscript"/>
        </w:rPr>
        <w:t>пред</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w:t>
      </w:r>
      <w:r>
        <w:rPr>
          <w:rFonts w:ascii="Times New Roman" w:hAnsi="Times New Roman" w:cs="Times New Roman"/>
          <w:sz w:val="28"/>
          <w:szCs w:val="28"/>
          <w:vertAlign w:val="subscript"/>
        </w:rPr>
        <w:t>кб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w:t>
      </w:r>
      <w:r>
        <w:rPr>
          <w:rFonts w:ascii="Times New Roman" w:hAnsi="Times New Roman" w:cs="Times New Roman"/>
          <w:sz w:val="28"/>
          <w:szCs w:val="28"/>
          <w:vertAlign w:val="subscript"/>
        </w:rPr>
        <w:t>i</w:t>
      </w:r>
      <w:proofErr w:type="spellEnd"/>
      <w:r>
        <w:rPr>
          <w:rFonts w:ascii="Times New Roman" w:hAnsi="Times New Roman" w:cs="Times New Roman"/>
          <w:sz w:val="28"/>
          <w:szCs w:val="28"/>
        </w:rPr>
        <w:t xml:space="preserve"> / 100, где:</w:t>
      </w:r>
    </w:p>
    <w:p w:rsidR="00FE66B7" w:rsidRDefault="00FE66B7" w:rsidP="00FE66B7">
      <w:pPr>
        <w:autoSpaceDE w:val="0"/>
        <w:autoSpaceDN w:val="0"/>
        <w:adjustRightInd w:val="0"/>
        <w:spacing w:after="0" w:line="240" w:lineRule="auto"/>
        <w:jc w:val="both"/>
        <w:rPr>
          <w:rFonts w:ascii="Times New Roman" w:hAnsi="Times New Roman" w:cs="Times New Roman"/>
          <w:sz w:val="28"/>
          <w:szCs w:val="28"/>
        </w:rPr>
      </w:pP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Q</w:t>
      </w:r>
      <w:r>
        <w:rPr>
          <w:rFonts w:ascii="Times New Roman" w:hAnsi="Times New Roman" w:cs="Times New Roman"/>
          <w:sz w:val="28"/>
          <w:szCs w:val="28"/>
          <w:vertAlign w:val="subscript"/>
        </w:rPr>
        <w:t>i</w:t>
      </w:r>
      <w:proofErr w:type="spellEnd"/>
      <w:r>
        <w:rPr>
          <w:rFonts w:ascii="Times New Roman" w:hAnsi="Times New Roman" w:cs="Times New Roman"/>
          <w:sz w:val="28"/>
          <w:szCs w:val="28"/>
        </w:rPr>
        <w:t xml:space="preserve"> - объем софинансирования i-го муниципального образования;</w:t>
      </w: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S</w:t>
      </w:r>
      <w:proofErr w:type="gramEnd"/>
      <w:r>
        <w:rPr>
          <w:rFonts w:ascii="Times New Roman" w:hAnsi="Times New Roman" w:cs="Times New Roman"/>
          <w:sz w:val="28"/>
          <w:szCs w:val="28"/>
          <w:vertAlign w:val="subscript"/>
        </w:rPr>
        <w:t>ав</w:t>
      </w:r>
      <w:proofErr w:type="spellEnd"/>
      <w:r>
        <w:rPr>
          <w:rFonts w:ascii="Times New Roman" w:hAnsi="Times New Roman" w:cs="Times New Roman"/>
          <w:sz w:val="28"/>
          <w:szCs w:val="28"/>
        </w:rPr>
        <w:t xml:space="preserve"> - общая площадь жилых помещений, подлежащих расселению в аварийных многоквартирных домах, включенных в </w:t>
      </w:r>
      <w:hyperlink r:id="rId5" w:history="1">
        <w:r>
          <w:rPr>
            <w:rFonts w:ascii="Times New Roman" w:hAnsi="Times New Roman" w:cs="Times New Roman"/>
            <w:color w:val="0000FF"/>
            <w:sz w:val="28"/>
            <w:szCs w:val="28"/>
          </w:rPr>
          <w:t>Программу</w:t>
        </w:r>
      </w:hyperlink>
      <w:r>
        <w:rPr>
          <w:rFonts w:ascii="Times New Roman" w:hAnsi="Times New Roman" w:cs="Times New Roman"/>
          <w:sz w:val="28"/>
          <w:szCs w:val="28"/>
        </w:rPr>
        <w:t xml:space="preserve"> по муниципальному образованию;</w:t>
      </w: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C</w:t>
      </w:r>
      <w:proofErr w:type="gramEnd"/>
      <w:r>
        <w:rPr>
          <w:rFonts w:ascii="Times New Roman" w:hAnsi="Times New Roman" w:cs="Times New Roman"/>
          <w:sz w:val="28"/>
          <w:szCs w:val="28"/>
          <w:vertAlign w:val="subscript"/>
        </w:rPr>
        <w:t>пред</w:t>
      </w:r>
      <w:proofErr w:type="spellEnd"/>
      <w:r>
        <w:rPr>
          <w:rFonts w:ascii="Times New Roman" w:hAnsi="Times New Roman" w:cs="Times New Roman"/>
          <w:sz w:val="28"/>
          <w:szCs w:val="28"/>
        </w:rPr>
        <w:t xml:space="preserve"> - предельная стоимость одного квадратного метра общей площади жилых помещений, установленная </w:t>
      </w:r>
      <w:hyperlink r:id="rId6" w:history="1">
        <w:r>
          <w:rPr>
            <w:rFonts w:ascii="Times New Roman" w:hAnsi="Times New Roman" w:cs="Times New Roman"/>
            <w:color w:val="0000FF"/>
            <w:sz w:val="28"/>
            <w:szCs w:val="28"/>
          </w:rPr>
          <w:t>Программой</w:t>
        </w:r>
      </w:hyperlink>
      <w:r>
        <w:rPr>
          <w:rFonts w:ascii="Times New Roman" w:hAnsi="Times New Roman" w:cs="Times New Roman"/>
          <w:sz w:val="28"/>
          <w:szCs w:val="28"/>
        </w:rPr>
        <w:t>;</w:t>
      </w: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Д</w:t>
      </w:r>
      <w:r>
        <w:rPr>
          <w:rFonts w:ascii="Times New Roman" w:hAnsi="Times New Roman" w:cs="Times New Roman"/>
          <w:sz w:val="28"/>
          <w:szCs w:val="28"/>
          <w:vertAlign w:val="subscript"/>
        </w:rPr>
        <w:t>кб</w:t>
      </w:r>
      <w:proofErr w:type="spellEnd"/>
      <w:r>
        <w:rPr>
          <w:rFonts w:ascii="Times New Roman" w:hAnsi="Times New Roman" w:cs="Times New Roman"/>
          <w:sz w:val="28"/>
          <w:szCs w:val="28"/>
        </w:rPr>
        <w:t xml:space="preserve"> - обязательная доля софинансирования мероприятий по переселению граждан из аварийного жилищного фонда за счет средств консолидированного бюджета Мурманской области, установленная </w:t>
      </w:r>
      <w:hyperlink r:id="rId7" w:history="1">
        <w:r>
          <w:rPr>
            <w:rFonts w:ascii="Times New Roman" w:hAnsi="Times New Roman" w:cs="Times New Roman"/>
            <w:color w:val="0000FF"/>
            <w:sz w:val="28"/>
            <w:szCs w:val="28"/>
          </w:rPr>
          <w:t>Программой</w:t>
        </w:r>
      </w:hyperlink>
      <w:r>
        <w:rPr>
          <w:rFonts w:ascii="Times New Roman" w:hAnsi="Times New Roman" w:cs="Times New Roman"/>
          <w:sz w:val="28"/>
          <w:szCs w:val="28"/>
        </w:rPr>
        <w:t xml:space="preserve"> на соответствующий год. Доля софинансирования за счет средств консолидированного бюджета Мурманской области по годам представлена в таблице N 1;</w:t>
      </w: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У</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уровень софинансирования расходного обязательства муниципального образования на оплату стоимости одного квадратного метра общей площади жилых помещений, приобретаемых для переселения граждан из аварийного жилищного фонда за счет субсидии из областного бюджета.</w:t>
      </w: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Уровень софинансирования расходного обязательства муниципального района (городского округа) на оплату стоимости одного квадратного метра общей площади жилых помещений, приобретаемых для переселения граждан из аварийного жилищного фонда за счет субсидии из областного бюджета, определяется по формуле:</w:t>
      </w:r>
    </w:p>
    <w:p w:rsidR="00FE66B7" w:rsidRDefault="00FE66B7" w:rsidP="00FE66B7">
      <w:pPr>
        <w:autoSpaceDE w:val="0"/>
        <w:autoSpaceDN w:val="0"/>
        <w:adjustRightInd w:val="0"/>
        <w:spacing w:after="0" w:line="240" w:lineRule="auto"/>
        <w:jc w:val="both"/>
        <w:rPr>
          <w:rFonts w:ascii="Times New Roman" w:hAnsi="Times New Roman" w:cs="Times New Roman"/>
          <w:sz w:val="28"/>
          <w:szCs w:val="28"/>
        </w:rPr>
      </w:pP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noProof/>
          <w:position w:val="-30"/>
          <w:sz w:val="28"/>
          <w:szCs w:val="28"/>
          <w:lang w:eastAsia="ru-RU"/>
        </w:rPr>
        <w:drawing>
          <wp:inline distT="0" distB="0" distL="0" distR="0">
            <wp:extent cx="1438275" cy="6000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438275" cy="600075"/>
                    </a:xfrm>
                    <a:prstGeom prst="rect">
                      <a:avLst/>
                    </a:prstGeom>
                    <a:noFill/>
                    <a:ln w="9525">
                      <a:noFill/>
                      <a:miter lim="800000"/>
                      <a:headEnd/>
                      <a:tailEnd/>
                    </a:ln>
                  </pic:spPr>
                </pic:pic>
              </a:graphicData>
            </a:graphic>
          </wp:inline>
        </w:drawing>
      </w:r>
    </w:p>
    <w:p w:rsidR="00FE66B7" w:rsidRDefault="00FE66B7" w:rsidP="00FE66B7">
      <w:pPr>
        <w:autoSpaceDE w:val="0"/>
        <w:autoSpaceDN w:val="0"/>
        <w:adjustRightInd w:val="0"/>
        <w:spacing w:after="0" w:line="240" w:lineRule="auto"/>
        <w:jc w:val="both"/>
        <w:rPr>
          <w:rFonts w:ascii="Times New Roman" w:hAnsi="Times New Roman" w:cs="Times New Roman"/>
          <w:sz w:val="28"/>
          <w:szCs w:val="28"/>
        </w:rPr>
      </w:pP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У</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уровень софинансирования расходного обязательства муниципального района (городского округа) за счет субсидии из областного бюджета;</w:t>
      </w: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У</w:t>
      </w:r>
      <w:r>
        <w:rPr>
          <w:rFonts w:ascii="Times New Roman" w:hAnsi="Times New Roman" w:cs="Times New Roman"/>
          <w:sz w:val="28"/>
          <w:szCs w:val="28"/>
          <w:vertAlign w:val="subscript"/>
        </w:rPr>
        <w:t>с</w:t>
      </w:r>
      <w:r>
        <w:rPr>
          <w:rFonts w:ascii="Times New Roman" w:hAnsi="Times New Roman" w:cs="Times New Roman"/>
          <w:sz w:val="28"/>
          <w:szCs w:val="28"/>
        </w:rPr>
        <w:t xml:space="preserve"> - средний уровень софинансирования расходного обязательства муниципального района (городского округа) за счет субсидии, равный 0,75;</w:t>
      </w: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РБО</w:t>
      </w:r>
      <w:proofErr w:type="gramStart"/>
      <w:r>
        <w:rPr>
          <w:rFonts w:ascii="Times New Roman" w:hAnsi="Times New Roman" w:cs="Times New Roman"/>
          <w:sz w:val="28"/>
          <w:szCs w:val="28"/>
          <w:vertAlign w:val="subscript"/>
        </w:rPr>
        <w:t>i</w:t>
      </w:r>
      <w:proofErr w:type="spellEnd"/>
      <w:proofErr w:type="gramEnd"/>
      <w:r>
        <w:rPr>
          <w:rFonts w:ascii="Times New Roman" w:hAnsi="Times New Roman" w:cs="Times New Roman"/>
          <w:sz w:val="28"/>
          <w:szCs w:val="28"/>
        </w:rPr>
        <w:t xml:space="preserve"> - уровень расчетной бюджетной обеспеченности после распределения дотации на выравнивание бюджетной обеспеченности муниципальных районов (городских округов), рассчитанный при распределении указанной дотации на текущий финансовый год в бюджете на текущий финансовый год и плановый период.</w:t>
      </w: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этом уровень софинансирования расходного обязательства муниципального района (городского округа) за счет субсидии не может быть установлен выше 95 процентов объема расходного обязательства.</w:t>
      </w: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Для городских и сельских поселений, входящих в состав муниципальных районов, уровень софинансирования расходного обязательства муниципального образования на оплату стоимости одного квадратного метра общей площади жилых помещений, приобретаемых для переселения граждан из аварийного жилищного фонда за счет субсидии из областного бюджета, устанавливается в размере 95 процентов.</w:t>
      </w:r>
    </w:p>
    <w:p w:rsidR="00FE66B7" w:rsidRDefault="00FE66B7" w:rsidP="00FE66B7">
      <w:pPr>
        <w:autoSpaceDE w:val="0"/>
        <w:autoSpaceDN w:val="0"/>
        <w:adjustRightInd w:val="0"/>
        <w:spacing w:after="0" w:line="240" w:lineRule="auto"/>
        <w:ind w:firstLine="540"/>
        <w:jc w:val="both"/>
        <w:rPr>
          <w:rFonts w:ascii="Times New Roman" w:hAnsi="Times New Roman" w:cs="Times New Roman"/>
          <w:sz w:val="28"/>
          <w:szCs w:val="28"/>
        </w:rPr>
        <w:sectPr w:rsidR="00FE66B7">
          <w:pgSz w:w="11905" w:h="16838"/>
          <w:pgMar w:top="993" w:right="850" w:bottom="993" w:left="1418" w:header="0" w:footer="0" w:gutter="0"/>
          <w:cols w:space="720"/>
          <w:noEndnote/>
        </w:sectPr>
      </w:pPr>
    </w:p>
    <w:p w:rsidR="00FE66B7" w:rsidRDefault="00FE66B7" w:rsidP="00FE66B7">
      <w:pPr>
        <w:autoSpaceDE w:val="0"/>
        <w:autoSpaceDN w:val="0"/>
        <w:adjustRightInd w:val="0"/>
        <w:spacing w:after="0" w:line="240" w:lineRule="auto"/>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594"/>
        <w:gridCol w:w="4025"/>
        <w:gridCol w:w="5046"/>
      </w:tblGrid>
      <w:tr w:rsidR="00FE66B7">
        <w:tc>
          <w:tcPr>
            <w:tcW w:w="594" w:type="dxa"/>
            <w:tcBorders>
              <w:top w:val="single" w:sz="4" w:space="0" w:color="auto"/>
              <w:left w:val="single" w:sz="4" w:space="0" w:color="auto"/>
              <w:bottom w:val="single" w:sz="4" w:space="0" w:color="auto"/>
              <w:right w:val="single" w:sz="4" w:space="0" w:color="auto"/>
            </w:tcBorders>
            <w:vAlign w:val="center"/>
          </w:tcPr>
          <w:p w:rsidR="00FE66B7" w:rsidRDefault="00FE66B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N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4025" w:type="dxa"/>
            <w:tcBorders>
              <w:top w:val="single" w:sz="4" w:space="0" w:color="auto"/>
              <w:left w:val="single" w:sz="4" w:space="0" w:color="auto"/>
              <w:bottom w:val="single" w:sz="4" w:space="0" w:color="auto"/>
              <w:right w:val="single" w:sz="4" w:space="0" w:color="auto"/>
            </w:tcBorders>
            <w:vAlign w:val="center"/>
          </w:tcPr>
          <w:p w:rsidR="00FE66B7" w:rsidRDefault="00FE66B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Наименование муниципального образования</w:t>
            </w:r>
          </w:p>
        </w:tc>
        <w:tc>
          <w:tcPr>
            <w:tcW w:w="5046" w:type="dxa"/>
            <w:tcBorders>
              <w:top w:val="single" w:sz="4" w:space="0" w:color="auto"/>
              <w:left w:val="single" w:sz="4" w:space="0" w:color="auto"/>
              <w:bottom w:val="single" w:sz="4" w:space="0" w:color="auto"/>
              <w:right w:val="single" w:sz="4" w:space="0" w:color="auto"/>
            </w:tcBorders>
            <w:vAlign w:val="bottom"/>
          </w:tcPr>
          <w:p w:rsidR="00FE66B7" w:rsidRDefault="00FE66B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Уровень софинансирования расходного обязательства муниципального образования за счет субсидии, %</w:t>
            </w:r>
          </w:p>
        </w:tc>
      </w:tr>
      <w:tr w:rsidR="00FE66B7">
        <w:tc>
          <w:tcPr>
            <w:tcW w:w="594" w:type="dxa"/>
            <w:tcBorders>
              <w:top w:val="single" w:sz="4" w:space="0" w:color="auto"/>
              <w:left w:val="single" w:sz="4" w:space="0" w:color="auto"/>
              <w:bottom w:val="single" w:sz="4" w:space="0" w:color="auto"/>
              <w:right w:val="single" w:sz="4" w:space="0" w:color="auto"/>
            </w:tcBorders>
            <w:vAlign w:val="center"/>
          </w:tcPr>
          <w:p w:rsidR="00FE66B7" w:rsidRDefault="00FE66B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4025" w:type="dxa"/>
            <w:tcBorders>
              <w:top w:val="single" w:sz="4" w:space="0" w:color="auto"/>
              <w:left w:val="single" w:sz="4" w:space="0" w:color="auto"/>
              <w:bottom w:val="single" w:sz="4" w:space="0" w:color="auto"/>
              <w:right w:val="single" w:sz="4" w:space="0" w:color="auto"/>
            </w:tcBorders>
            <w:vAlign w:val="bottom"/>
          </w:tcPr>
          <w:p w:rsidR="00FE66B7" w:rsidRDefault="00FE66B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г. Мурманск</w:t>
            </w:r>
          </w:p>
        </w:tc>
        <w:tc>
          <w:tcPr>
            <w:tcW w:w="5046" w:type="dxa"/>
            <w:tcBorders>
              <w:top w:val="single" w:sz="4" w:space="0" w:color="auto"/>
              <w:left w:val="single" w:sz="4" w:space="0" w:color="auto"/>
              <w:bottom w:val="single" w:sz="4" w:space="0" w:color="auto"/>
              <w:right w:val="single" w:sz="4" w:space="0" w:color="auto"/>
            </w:tcBorders>
            <w:vAlign w:val="center"/>
          </w:tcPr>
          <w:p w:rsidR="00FE66B7" w:rsidRDefault="00FE66B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60,34</w:t>
            </w:r>
          </w:p>
        </w:tc>
      </w:tr>
      <w:tr w:rsidR="00FE66B7">
        <w:tc>
          <w:tcPr>
            <w:tcW w:w="594" w:type="dxa"/>
            <w:tcBorders>
              <w:top w:val="single" w:sz="4" w:space="0" w:color="auto"/>
              <w:left w:val="single" w:sz="4" w:space="0" w:color="auto"/>
              <w:bottom w:val="single" w:sz="4" w:space="0" w:color="auto"/>
              <w:right w:val="single" w:sz="4" w:space="0" w:color="auto"/>
            </w:tcBorders>
            <w:vAlign w:val="center"/>
          </w:tcPr>
          <w:p w:rsidR="00FE66B7" w:rsidRDefault="00FE66B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4025" w:type="dxa"/>
            <w:tcBorders>
              <w:top w:val="single" w:sz="4" w:space="0" w:color="auto"/>
              <w:left w:val="single" w:sz="4" w:space="0" w:color="auto"/>
              <w:bottom w:val="single" w:sz="4" w:space="0" w:color="auto"/>
              <w:right w:val="single" w:sz="4" w:space="0" w:color="auto"/>
            </w:tcBorders>
            <w:vAlign w:val="bottom"/>
          </w:tcPr>
          <w:p w:rsidR="00FE66B7" w:rsidRDefault="00FE66B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г. Мончегорск с подведомственной территорией</w:t>
            </w:r>
          </w:p>
        </w:tc>
        <w:tc>
          <w:tcPr>
            <w:tcW w:w="5046" w:type="dxa"/>
            <w:tcBorders>
              <w:top w:val="single" w:sz="4" w:space="0" w:color="auto"/>
              <w:left w:val="single" w:sz="4" w:space="0" w:color="auto"/>
              <w:bottom w:val="single" w:sz="4" w:space="0" w:color="auto"/>
              <w:right w:val="single" w:sz="4" w:space="0" w:color="auto"/>
            </w:tcBorders>
            <w:vAlign w:val="center"/>
          </w:tcPr>
          <w:p w:rsidR="00FE66B7" w:rsidRDefault="00FE66B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68,68</w:t>
            </w:r>
          </w:p>
        </w:tc>
      </w:tr>
      <w:tr w:rsidR="00FE66B7">
        <w:tc>
          <w:tcPr>
            <w:tcW w:w="594" w:type="dxa"/>
            <w:tcBorders>
              <w:top w:val="single" w:sz="4" w:space="0" w:color="auto"/>
              <w:left w:val="single" w:sz="4" w:space="0" w:color="auto"/>
              <w:bottom w:val="single" w:sz="4" w:space="0" w:color="auto"/>
              <w:right w:val="single" w:sz="4" w:space="0" w:color="auto"/>
            </w:tcBorders>
            <w:vAlign w:val="center"/>
          </w:tcPr>
          <w:p w:rsidR="00FE66B7" w:rsidRDefault="00FE66B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4025" w:type="dxa"/>
            <w:tcBorders>
              <w:top w:val="single" w:sz="4" w:space="0" w:color="auto"/>
              <w:left w:val="single" w:sz="4" w:space="0" w:color="auto"/>
              <w:bottom w:val="single" w:sz="4" w:space="0" w:color="auto"/>
              <w:right w:val="single" w:sz="4" w:space="0" w:color="auto"/>
            </w:tcBorders>
            <w:vAlign w:val="bottom"/>
          </w:tcPr>
          <w:p w:rsidR="00FE66B7" w:rsidRDefault="00FE66B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г.п. Зеленоборский Кандалакшского района</w:t>
            </w:r>
          </w:p>
        </w:tc>
        <w:tc>
          <w:tcPr>
            <w:tcW w:w="5046" w:type="dxa"/>
            <w:tcBorders>
              <w:top w:val="single" w:sz="4" w:space="0" w:color="auto"/>
              <w:left w:val="single" w:sz="4" w:space="0" w:color="auto"/>
              <w:bottom w:val="single" w:sz="4" w:space="0" w:color="auto"/>
              <w:right w:val="single" w:sz="4" w:space="0" w:color="auto"/>
            </w:tcBorders>
            <w:vAlign w:val="center"/>
          </w:tcPr>
          <w:p w:rsidR="00FE66B7" w:rsidRDefault="00FE66B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95,00</w:t>
            </w:r>
          </w:p>
        </w:tc>
      </w:tr>
      <w:tr w:rsidR="00FE66B7">
        <w:tc>
          <w:tcPr>
            <w:tcW w:w="594" w:type="dxa"/>
            <w:tcBorders>
              <w:top w:val="single" w:sz="4" w:space="0" w:color="auto"/>
              <w:left w:val="single" w:sz="4" w:space="0" w:color="auto"/>
              <w:bottom w:val="single" w:sz="4" w:space="0" w:color="auto"/>
              <w:right w:val="single" w:sz="4" w:space="0" w:color="auto"/>
            </w:tcBorders>
            <w:vAlign w:val="center"/>
          </w:tcPr>
          <w:p w:rsidR="00FE66B7" w:rsidRDefault="00FE66B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4025" w:type="dxa"/>
            <w:tcBorders>
              <w:top w:val="single" w:sz="4" w:space="0" w:color="auto"/>
              <w:left w:val="single" w:sz="4" w:space="0" w:color="auto"/>
              <w:bottom w:val="single" w:sz="4" w:space="0" w:color="auto"/>
              <w:right w:val="single" w:sz="4" w:space="0" w:color="auto"/>
            </w:tcBorders>
            <w:vAlign w:val="bottom"/>
          </w:tcPr>
          <w:p w:rsidR="00FE66B7" w:rsidRDefault="00FE66B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г.п. Кандалакша</w:t>
            </w:r>
          </w:p>
        </w:tc>
        <w:tc>
          <w:tcPr>
            <w:tcW w:w="5046" w:type="dxa"/>
            <w:tcBorders>
              <w:top w:val="single" w:sz="4" w:space="0" w:color="auto"/>
              <w:left w:val="single" w:sz="4" w:space="0" w:color="auto"/>
              <w:bottom w:val="single" w:sz="4" w:space="0" w:color="auto"/>
              <w:right w:val="single" w:sz="4" w:space="0" w:color="auto"/>
            </w:tcBorders>
            <w:vAlign w:val="center"/>
          </w:tcPr>
          <w:p w:rsidR="00FE66B7" w:rsidRDefault="00FE66B7">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95,00</w:t>
            </w:r>
          </w:p>
        </w:tc>
      </w:tr>
    </w:tbl>
    <w:p w:rsidR="00FE66B7" w:rsidRDefault="00FE66B7" w:rsidP="00FE66B7">
      <w:pPr>
        <w:autoSpaceDE w:val="0"/>
        <w:autoSpaceDN w:val="0"/>
        <w:adjustRightInd w:val="0"/>
        <w:spacing w:after="0" w:line="240" w:lineRule="auto"/>
        <w:jc w:val="both"/>
        <w:rPr>
          <w:rFonts w:ascii="Times New Roman" w:hAnsi="Times New Roman" w:cs="Times New Roman"/>
          <w:sz w:val="28"/>
          <w:szCs w:val="28"/>
        </w:rPr>
      </w:pPr>
    </w:p>
    <w:p w:rsidR="00FE66B7" w:rsidRDefault="00FE66B7" w:rsidP="00FE66B7">
      <w:pPr>
        <w:autoSpaceDE w:val="0"/>
        <w:autoSpaceDN w:val="0"/>
        <w:adjustRightInd w:val="0"/>
        <w:spacing w:after="0" w:line="240" w:lineRule="auto"/>
        <w:jc w:val="both"/>
        <w:rPr>
          <w:rFonts w:ascii="Times New Roman" w:hAnsi="Times New Roman" w:cs="Times New Roman"/>
          <w:sz w:val="28"/>
          <w:szCs w:val="28"/>
        </w:rPr>
      </w:pPr>
    </w:p>
    <w:p w:rsidR="00FE66B7" w:rsidRDefault="00FE66B7"/>
    <w:sectPr w:rsidR="00FE66B7" w:rsidSect="00C51B60">
      <w:pgSz w:w="16838" w:h="11905" w:orient="landscape"/>
      <w:pgMar w:top="1418" w:right="993" w:bottom="850" w:left="99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E66B7"/>
    <w:rsid w:val="00FE66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66B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66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webSettings" Target="webSettings.xml"/><Relationship Id="rId7" Type="http://schemas.openxmlformats.org/officeDocument/2006/relationships/hyperlink" Target="consultantplus://offline/ref=96D5BFB43A4D4AFD79516F6B798666D0118E69E967112C003F5D7FF0932736539E99617A8281AC23769187H57A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6D5BFB43A4D4AFD79516F6B798666D0118E69E967112C003F5D7FF0932736539E99617A8281AC23769187H57AK" TargetMode="External"/><Relationship Id="rId5" Type="http://schemas.openxmlformats.org/officeDocument/2006/relationships/hyperlink" Target="consultantplus://offline/ref=96D5BFB43A4D4AFD79516F6B798666D0118E69E967112C003F5D7FF0932736539E99617A8281AC23769187H57AK" TargetMode="External"/><Relationship Id="rId10" Type="http://schemas.openxmlformats.org/officeDocument/2006/relationships/theme" Target="theme/theme1.xml"/><Relationship Id="rId4" Type="http://schemas.openxmlformats.org/officeDocument/2006/relationships/hyperlink" Target="consultantplus://offline/ref=96D5BFB43A4D4AFD79516F6B798666D0118E69E967112C003F5D7FF0932736539E99617A8281AC23769187H57AK"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574</Words>
  <Characters>3276</Characters>
  <Application>Microsoft Office Word</Application>
  <DocSecurity>0</DocSecurity>
  <Lines>27</Lines>
  <Paragraphs>7</Paragraphs>
  <ScaleCrop>false</ScaleCrop>
  <Company>Министерство финансов Мурманской области</Company>
  <LinksUpToDate>false</LinksUpToDate>
  <CharactersWithSpaces>3843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Владимировна Поддуб. Поддубная</dc:creator>
  <cp:lastModifiedBy>Алина Владимировна Поддуб. Поддубная</cp:lastModifiedBy>
  <cp:revision>1</cp:revision>
  <dcterms:created xsi:type="dcterms:W3CDTF">2016-10-27T10:59:00Z</dcterms:created>
  <dcterms:modified xsi:type="dcterms:W3CDTF">2016-10-27T11:01:00Z</dcterms:modified>
</cp:coreProperties>
</file>