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978" w:rsidRDefault="00B42978" w:rsidP="00B42978">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N 4</w:t>
      </w:r>
    </w:p>
    <w:p w:rsidR="00B42978" w:rsidRDefault="00B42978" w:rsidP="00B42978">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 Программе</w:t>
      </w:r>
    </w:p>
    <w:p w:rsidR="00B42978" w:rsidRDefault="00B42978" w:rsidP="00B42978">
      <w:pPr>
        <w:autoSpaceDE w:val="0"/>
        <w:autoSpaceDN w:val="0"/>
        <w:adjustRightInd w:val="0"/>
        <w:spacing w:after="0" w:line="240" w:lineRule="auto"/>
        <w:jc w:val="both"/>
        <w:rPr>
          <w:rFonts w:ascii="Times New Roman" w:hAnsi="Times New Roman" w:cs="Times New Roman"/>
          <w:sz w:val="28"/>
          <w:szCs w:val="28"/>
        </w:rPr>
      </w:pPr>
    </w:p>
    <w:p w:rsidR="00B42978" w:rsidRDefault="00B42978" w:rsidP="00B42978">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ПРАВИЛА</w:t>
      </w:r>
    </w:p>
    <w:p w:rsidR="00B42978" w:rsidRDefault="00B42978" w:rsidP="00B42978">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ПРЕДОСТАВЛЕНИЯ СУБСИДИЙ ИЗ ОБЛАСТНОГО БЮДЖЕТА МЕСТНЫМ</w:t>
      </w:r>
    </w:p>
    <w:p w:rsidR="00B42978" w:rsidRDefault="00B42978" w:rsidP="00B42978">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БЮДЖЕТАМ НА СОФИНАНСИРОВАНИЕ МЕРОПРИЯТИЙ ПО ПЕРЕСЕЛЕНИЮ</w:t>
      </w:r>
    </w:p>
    <w:p w:rsidR="00B42978" w:rsidRDefault="00B42978" w:rsidP="00B42978">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ГРАЖДАН ИЗ АВАРИЙНОГО ЖИЛИЩНОГО ФОНДА</w:t>
      </w:r>
    </w:p>
    <w:p w:rsidR="00B42978" w:rsidRDefault="00B42978" w:rsidP="00B42978">
      <w:pPr>
        <w:autoSpaceDE w:val="0"/>
        <w:autoSpaceDN w:val="0"/>
        <w:adjustRightInd w:val="0"/>
        <w:spacing w:after="0" w:line="240" w:lineRule="auto"/>
        <w:jc w:val="both"/>
        <w:rPr>
          <w:rFonts w:ascii="Times New Roman" w:hAnsi="Times New Roman" w:cs="Times New Roman"/>
          <w:sz w:val="28"/>
          <w:szCs w:val="28"/>
        </w:rPr>
      </w:pP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Настоящие Правила определяют порядок и условия предоставления и расходования субсидий из областного бюджета местным бюджетам на софинансирование мероприятий по переселению граждан из аварийного жилищного фонда в рамках </w:t>
      </w:r>
      <w:hyperlink r:id="rId4" w:history="1">
        <w:r>
          <w:rPr>
            <w:rFonts w:ascii="Times New Roman" w:hAnsi="Times New Roman" w:cs="Times New Roman"/>
            <w:color w:val="0000FF"/>
            <w:sz w:val="28"/>
            <w:szCs w:val="28"/>
          </w:rPr>
          <w:t>программы</w:t>
        </w:r>
      </w:hyperlink>
      <w:r>
        <w:rPr>
          <w:rFonts w:ascii="Times New Roman" w:hAnsi="Times New Roman" w:cs="Times New Roman"/>
          <w:sz w:val="28"/>
          <w:szCs w:val="28"/>
        </w:rPr>
        <w:t xml:space="preserve"> "Переселение граждан из аварийного жилищного фонда Мурманской области" на 2013 - 2017 годы (далее - Программа, субсидии).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Субсидии предоставляются на софинансирование мероприятий по переселению граждан из аварийного жилищного фонда в рамках Программы.</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Критерием отбора муниципальных образований для предоставления субсидий является наличие на территории муниципального образования многоквартирных домов, признанных до 1 января 2012 года в установленном порядке аварийными и подлежащих сносу в связи с физическим износом в процессе их эксплуатации.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Распределение субсидий муниципальным образованиям осуществляется в соответствии с Методикой расчета объема софинансирования за счет средств бюджетов муниципальных образований мероприятий по переселению граждан из аварийного жилищного фонда, прилагаемой к Программе.</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bookmarkStart w:id="0" w:name="Par12"/>
      <w:bookmarkEnd w:id="0"/>
      <w:r>
        <w:rPr>
          <w:rFonts w:ascii="Times New Roman" w:hAnsi="Times New Roman" w:cs="Times New Roman"/>
          <w:sz w:val="28"/>
          <w:szCs w:val="28"/>
        </w:rPr>
        <w:t>5. Субсидии предоставляются бюджетам муниципальных образований, являющихся участниками Программы, на основе выполнения следующих условий:</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наличия подтверждения финансового обеспечения расходных обязательств муниципальных образований по переселению граждан из аварийного жилищного фонда (далее - расходные обязательства) в размере не менее 5 процентов от общей суммы стоимости жилых помещений;</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наличия муниципальной адресной программы, предусматривающей мероприятия по переселению граждан, проживающих в домах, признанных до 1 января 2012 года в установленном порядке аварийными и подлежащими сносу или реконструкции в связи с физическим износом в процессе их эксплуатации.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Муниципальная адресная программа, предусматривающая мероприятия по переселению граждан, проживающих в аварийных домах, должна содержать:</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перечень жилых помещений, признанных до 1 января 2012 года в установленном порядке непригодными для проживания, находящихся в аварийных домах, подлежащих сносу или реконструкции в связи с физическим износом в процессе их эксплуатации;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обоснование программных мероприятий по переселению граждан;</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объем долевого финансирования за счет средств бюджета муниципального образования;</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планируемые показатели выполнения муниципальной программы;</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размер стоимости одного квадратного метра общей площади жилых помещений, предоставляемых гражданам в рамках муниципальной программы.</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Муниципальной программой может предусматриваться приобретение жилых помещений во вновь построенных жилых домах у лиц, не являющихся застройщиками домов, в которых расположены эти помещения, для предоставления их гражданам, переселяемым из аварийного жилищного фонда, а также предоставление выкупной цены в связи с изъятием жилых помещений у собственников.</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или этапы этой программы, на реализацию которых с 1 января 2013 года до 31 декабря 2015 года предоставлены субсидии из областного бюджета, должны быть реализованы не позднее, чем 31 декабря года, следующего за годом предоставления субсидий. Этап муниципальной программы, на реализацию которой предоставлены субсидии из областного бюджета в 2016 и 2017 годах, должен быть реализован не позднее 1 сентября 2017 года.</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этом к указанному сроку количество граждан, переселенных из аварийного жилищного фонда в соответствии с муниципальной программой, в совокупности не должно быть менее количества подлежавших переселению граждан, которое указано в Программе;</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наличия сформированного земельного участка, отведенного под строительство жилых домов;</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наличия документов о признании домов аварийными и подлежащими сносу или реконструкции, принятых в установленном порядке;</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наличия заключенного между ответственным исполнителем Программы и уполномоченным органом местного самоуправления соглашения о предоставлении субсидий.</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Если за счет средств субсидии осуществляется закупка товаров, работ, услуг конкурентными способами определения поставщиков (подрядчиков, исполнителей) (открытый конкурс, конкурс с ограниченным участием, двухэтапный конкурс, аукцион в электронной форме, запрос предложений) (далее - закупка), обязательным условием предоставления субсидии является централизация закупок в соответствии с </w:t>
      </w:r>
      <w:hyperlink r:id="rId5" w:history="1">
        <w:r>
          <w:rPr>
            <w:rFonts w:ascii="Times New Roman" w:hAnsi="Times New Roman" w:cs="Times New Roman"/>
            <w:color w:val="0000FF"/>
            <w:sz w:val="28"/>
            <w:szCs w:val="28"/>
          </w:rPr>
          <w:t>частью 7 статьи 26</w:t>
        </w:r>
      </w:hyperlink>
      <w:r>
        <w:rPr>
          <w:rFonts w:ascii="Times New Roman" w:hAnsi="Times New Roman" w:cs="Times New Roman"/>
          <w:sz w:val="28"/>
          <w:szCs w:val="28"/>
        </w:rPr>
        <w:t xml:space="preserve"> Федерального закона от 05.04.2013 N 44-ФЗ "О контрактной системе в сфере закупок товаров, работ</w:t>
      </w:r>
      <w:proofErr w:type="gramEnd"/>
      <w:r>
        <w:rPr>
          <w:rFonts w:ascii="Times New Roman" w:hAnsi="Times New Roman" w:cs="Times New Roman"/>
          <w:sz w:val="28"/>
          <w:szCs w:val="28"/>
        </w:rPr>
        <w:t>, услуг для обеспечения государственных и муниципальных нужд" (за исключением случаев, когда такие закупки осуществляются уполномоченным органом, уполномоченным учреждением из числа муниципальных органов, муниципальных казенных учреждений городских округов и муниципальных районов Мурманской области, полномочия которых определены решениями органов местного самоуправления). В этом случае определение поставщиков (подрядчиков, исполнителей) осуществляется уполномоченным органом, уполномоченным учреждением, полномочия которого определены решением Правительства Мурманской области.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6. Предоставление субсидии осуществляется Минстроем МО в соответствии с бюджетной росписью, в пределах выделенных лимитов, предусмотренных на указанные цели.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Субсидия предоставляется на основании соглашения, заключенного между Минстроем МО и муниципальным образованием - участником Программы, по форме, утвержденной Минстроем МО.</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Соглашение должно содержать следующие положения:</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сведения о наличии нормативного правового акта муниципального образования, устанавливающего расходное обязательство муниципального образования, на исполнение которого предоставляется субсидия;</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размер предоставляемой субсидии, условия предоставления и расходования субсидии;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значения целевых показателей результативности предоставления субсидии;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сроки и порядок представления отчетности об осуществлении расходов местного бюджета, источниками финансового обеспечения которых являются субсидии, а также средства местного бюджета;</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осуществление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муниципальным образованием условий, установленных при предоставлении субсидии;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последствия </w:t>
      </w:r>
      <w:proofErr w:type="spellStart"/>
      <w:r>
        <w:rPr>
          <w:rFonts w:ascii="Times New Roman" w:hAnsi="Times New Roman" w:cs="Times New Roman"/>
          <w:sz w:val="28"/>
          <w:szCs w:val="28"/>
        </w:rPr>
        <w:t>недостижения</w:t>
      </w:r>
      <w:proofErr w:type="spellEnd"/>
      <w:r>
        <w:rPr>
          <w:rFonts w:ascii="Times New Roman" w:hAnsi="Times New Roman" w:cs="Times New Roman"/>
          <w:sz w:val="28"/>
          <w:szCs w:val="28"/>
        </w:rPr>
        <w:t xml:space="preserve"> муниципальным образованием установленных </w:t>
      </w:r>
      <w:proofErr w:type="gramStart"/>
      <w:r>
        <w:rPr>
          <w:rFonts w:ascii="Times New Roman" w:hAnsi="Times New Roman" w:cs="Times New Roman"/>
          <w:sz w:val="28"/>
          <w:szCs w:val="28"/>
        </w:rPr>
        <w:t>значений целевых показателей результативности предоставления субсидий</w:t>
      </w:r>
      <w:proofErr w:type="gramEnd"/>
      <w:r>
        <w:rPr>
          <w:rFonts w:ascii="Times New Roman" w:hAnsi="Times New Roman" w:cs="Times New Roman"/>
          <w:sz w:val="28"/>
          <w:szCs w:val="28"/>
        </w:rPr>
        <w:t>;</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ответственность сторон за нарушение условий соглашения;</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приостановление перечисления субсидии при несоблюдении органом местного самоуправления условий предоставления субсидии в порядке, установленном Министерством финансов Мурманской области;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 обязательство заключения муниципальным районом соглашения с городским и (или) сельским поселением в случае, если субсидия используется муниципальным районом на софинансирование расходных обязательств, возникающих при выполнении полномочий органов местного самоуправления поселений по вопросам местного значения, с учетом положений настоящего пункта и выполнения установленных для муниципального района значений целевых показателей.</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Расходование субсидий осуществляется в соответствии с обязательствами, предусмотренными </w:t>
      </w:r>
      <w:hyperlink w:anchor="Par12" w:history="1">
        <w:r>
          <w:rPr>
            <w:rFonts w:ascii="Times New Roman" w:hAnsi="Times New Roman" w:cs="Times New Roman"/>
            <w:color w:val="0000FF"/>
            <w:sz w:val="28"/>
            <w:szCs w:val="28"/>
          </w:rPr>
          <w:t>пунктом 5</w:t>
        </w:r>
      </w:hyperlink>
      <w:r>
        <w:rPr>
          <w:rFonts w:ascii="Times New Roman" w:hAnsi="Times New Roman" w:cs="Times New Roman"/>
          <w:sz w:val="28"/>
          <w:szCs w:val="28"/>
        </w:rPr>
        <w:t xml:space="preserve"> настоящих Правил, и в соответствии с соглашением, заключенным между Минстроем МО и муниципальным образованием.</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 Сроки, порядок представления муниципальными образованиями отчетности об исполнении условий предоставления субсидий и их использовании устанавливаются соглашением.</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 Предоставление субсидии городским (сельским) поселениям осуществляется через муниципальные районы, в состав которых входят эти поселения, при условии заключения трехстороннего соглашения между Минстроем МО, муниципальными районами и городским (сельским) поселением.</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11. Размер средств, указанных в настоящих Правилах, подтверждается выпиской из решения представительного органа местного самоуправления о местном бюджете, </w:t>
      </w:r>
      <w:proofErr w:type="gramStart"/>
      <w:r>
        <w:rPr>
          <w:rFonts w:ascii="Times New Roman" w:hAnsi="Times New Roman" w:cs="Times New Roman"/>
          <w:sz w:val="28"/>
          <w:szCs w:val="28"/>
        </w:rPr>
        <w:t>которая</w:t>
      </w:r>
      <w:proofErr w:type="gramEnd"/>
      <w:r>
        <w:rPr>
          <w:rFonts w:ascii="Times New Roman" w:hAnsi="Times New Roman" w:cs="Times New Roman"/>
          <w:sz w:val="28"/>
          <w:szCs w:val="28"/>
        </w:rPr>
        <w:t xml:space="preserve"> предоставляется муниципальным образованием в Минстрой МО при заключении соглашения.</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 Субсидии перечисляются Минстроем МО на лицевой счет администратора доходов местного бюджета, открытый в территориальном органе Федерального казначейства, предназначенный для отражения операций по администрированию поступлений доходов в бюджет, на основании соглашения, заключенного между Минстроем МО и муниципальным образованием Мурманской области.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 Целевым показателем результативности использования субсидий является достижение установленных Программой показателей.</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 В случае если участником Программы не достигнуты целевые показатели результативности использования субсидии, установленные соглашением, неиспользованный объем субсидии, предусмотренный муниципальному образованию, подлежит возврату в областной бюджет.</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15. В случае несоблюдения участником Программы условий предоставления субсидии перечисление субсидии приостанавливается в порядке, предусмотренном Министерством финансов Мурманской области.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16. Не использованный на 31 декабря текущего года остаток субсидии подлежит возврату в областной бюджет.</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Министерством финансов Мурманской области.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17. Средства субсидии носят целевой характер и не могут быть использованы на другие цели.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Участники Программы несут ответственность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нарушение условий, установленных настоящим Порядком;</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нецелевое использование субсидий;</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достоверность сведений, предоставляемых в Министерство, подтверждающих целевое использование субсидии.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18. В случае нецелевого использования субсидия подлежит взысканию в доход областного бюджета (в размере нецелевого использования) в соответствии с бюджетным законодательством Российской Федерации, законодательством Мурманской области.</w:t>
      </w:r>
    </w:p>
    <w:p w:rsidR="00B42978" w:rsidRDefault="00B42978" w:rsidP="00B4297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19.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целевым использованием субсидии осуществляют главный распределитель бюджетных средств и органы финансового контроля Мурманской области.</w:t>
      </w:r>
    </w:p>
    <w:p w:rsidR="00B42978" w:rsidRDefault="00B42978" w:rsidP="00B42978">
      <w:pPr>
        <w:autoSpaceDE w:val="0"/>
        <w:autoSpaceDN w:val="0"/>
        <w:adjustRightInd w:val="0"/>
        <w:spacing w:after="0" w:line="240" w:lineRule="auto"/>
        <w:jc w:val="both"/>
        <w:rPr>
          <w:rFonts w:ascii="Times New Roman" w:hAnsi="Times New Roman" w:cs="Times New Roman"/>
          <w:sz w:val="28"/>
          <w:szCs w:val="28"/>
        </w:rPr>
      </w:pPr>
    </w:p>
    <w:p w:rsidR="00B42978" w:rsidRDefault="00B42978"/>
    <w:sectPr w:rsidR="00B42978" w:rsidSect="00C51B60">
      <w:pgSz w:w="11905" w:h="16838"/>
      <w:pgMar w:top="1134" w:right="850" w:bottom="1134" w:left="1418"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42978"/>
    <w:rsid w:val="00B429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A4ACD5A46BBA305DF8DD7574FF6F14408C56DA263AF1DF80768EBF59D8DA9C6748AC42E19EAC1ABCt073K" TargetMode="External"/><Relationship Id="rId4" Type="http://schemas.openxmlformats.org/officeDocument/2006/relationships/hyperlink" Target="consultantplus://offline/ref=A4ACD5A46BBA305DF8DD6B79E9034A45895D84293DF0DDDF23D1E4048FD396300FE31BA3DAA118B5036F0Ct47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1513</Words>
  <Characters>8629</Characters>
  <Application>Microsoft Office Word</Application>
  <DocSecurity>0</DocSecurity>
  <Lines>71</Lines>
  <Paragraphs>20</Paragraphs>
  <ScaleCrop>false</ScaleCrop>
  <Company>Министерство финансов Мурманской области</Company>
  <LinksUpToDate>false</LinksUpToDate>
  <CharactersWithSpaces>10122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Владимировна Поддуб. Поддубная</dc:creator>
  <cp:lastModifiedBy>Алина Владимировна Поддуб. Поддубная</cp:lastModifiedBy>
  <cp:revision>1</cp:revision>
  <dcterms:created xsi:type="dcterms:W3CDTF">2016-10-27T10:59:00Z</dcterms:created>
  <dcterms:modified xsi:type="dcterms:W3CDTF">2016-10-27T11:01:00Z</dcterms:modified>
</cp:coreProperties>
</file>