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201AA8">
        <w:tc>
          <w:tcPr>
            <w:tcW w:w="4677" w:type="dxa"/>
          </w:tcPr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 декабря 2007 года</w:t>
            </w:r>
          </w:p>
        </w:tc>
        <w:tc>
          <w:tcPr>
            <w:tcW w:w="4677" w:type="dxa"/>
          </w:tcPr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916-01-ЗМО</w:t>
            </w:r>
          </w:p>
        </w:tc>
      </w:tr>
    </w:tbl>
    <w:p w:rsidR="00201AA8" w:rsidRDefault="00201AA8" w:rsidP="00201AA8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МУРМАНСКОЙ ОБЛАСТИ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МЕЖБЮДЖЕТНЫХ ОТНОШЕНИЯХ В МУРМАНСКОЙ ОБЛАСТИ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  <w:r>
        <w:rPr>
          <w:rFonts w:ascii="Calibri" w:hAnsi="Calibri" w:cs="Calibri"/>
        </w:rPr>
        <w:t xml:space="preserve"> Мурманской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областной Думой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29 ноября 2007 года</w:t>
      </w:r>
    </w:p>
    <w:p w:rsidR="00201AA8" w:rsidRDefault="00201AA8" w:rsidP="00201AA8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581"/>
      </w:tblGrid>
      <w:tr w:rsidR="00201AA8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Законов Мурманской области</w:t>
            </w:r>
            <w:proofErr w:type="gramEnd"/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12.03.2008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947-01-ЗМО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10.11.2008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1017-01-ЗМО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14.12.2009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1164-01-ЗМО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22.10.2010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1263-01-ЗМО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12.12.2011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N 1441-01-ЗМО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12.11.2012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N 1527-01-ЗМО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28.06.2013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N 1635-01-ЗМО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29.10.2013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N 1663-01-ЗМО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(ред. 20.12.2013),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20.12.2013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1707-01-ЗМО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08.04.2015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1843-01-ЗМО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31.10.2016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2046-01-ЗМО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12.12.2017 </w:t>
            </w:r>
            <w:hyperlink r:id="rId16" w:history="1">
              <w:r>
                <w:rPr>
                  <w:rFonts w:ascii="Calibri" w:hAnsi="Calibri" w:cs="Calibri"/>
                  <w:color w:val="0000FF"/>
                </w:rPr>
                <w:t>N 2209-01-ЗМО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06.12.2019 </w:t>
            </w:r>
            <w:hyperlink r:id="rId17" w:history="1">
              <w:r>
                <w:rPr>
                  <w:rFonts w:ascii="Calibri" w:hAnsi="Calibri" w:cs="Calibri"/>
                  <w:color w:val="0000FF"/>
                </w:rPr>
                <w:t>N 2433-01-ЗМО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с изм., </w:t>
            </w:r>
            <w:proofErr w:type="gramStart"/>
            <w:r>
              <w:rPr>
                <w:rFonts w:ascii="Calibri" w:hAnsi="Calibri" w:cs="Calibri"/>
                <w:color w:val="392C69"/>
              </w:rPr>
              <w:t>внесенными</w:t>
            </w:r>
            <w:proofErr w:type="gramEnd"/>
            <w:r>
              <w:rPr>
                <w:rFonts w:ascii="Calibri" w:hAnsi="Calibri" w:cs="Calibri"/>
                <w:color w:val="392C69"/>
              </w:rPr>
              <w:t xml:space="preserve"> </w:t>
            </w:r>
            <w:hyperlink r:id="rId18" w:history="1">
              <w:r>
                <w:rPr>
                  <w:rFonts w:ascii="Calibri" w:hAnsi="Calibri" w:cs="Calibri"/>
                  <w:color w:val="0000FF"/>
                </w:rPr>
                <w:t>Законом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Мурманской области</w:t>
            </w:r>
          </w:p>
          <w:p w:rsidR="00201AA8" w:rsidRDefault="0020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от 21.04.2020 N 2480-01-ЗМО)</w:t>
            </w:r>
          </w:p>
        </w:tc>
      </w:tr>
    </w:tbl>
    <w:p w:rsidR="00201AA8" w:rsidRDefault="00201AA8">
      <w:pPr>
        <w:pStyle w:val="ConsPlusNormal"/>
        <w:jc w:val="right"/>
        <w:outlineLvl w:val="0"/>
      </w:pPr>
      <w:bookmarkStart w:id="0" w:name="_GoBack"/>
      <w:bookmarkEnd w:id="0"/>
    </w:p>
    <w:p w:rsidR="00201AA8" w:rsidRDefault="00201AA8">
      <w:pPr>
        <w:pStyle w:val="ConsPlusNormal"/>
        <w:jc w:val="right"/>
        <w:outlineLvl w:val="0"/>
      </w:pPr>
      <w:r>
        <w:t>Приложение N 3</w:t>
      </w:r>
    </w:p>
    <w:p w:rsidR="00201AA8" w:rsidRDefault="00201AA8">
      <w:pPr>
        <w:pStyle w:val="ConsPlusNormal"/>
        <w:jc w:val="right"/>
      </w:pPr>
      <w:r>
        <w:t>к Закону Мурманской области</w:t>
      </w:r>
    </w:p>
    <w:p w:rsidR="00201AA8" w:rsidRDefault="00201AA8">
      <w:pPr>
        <w:pStyle w:val="ConsPlusNormal"/>
        <w:jc w:val="right"/>
      </w:pPr>
      <w:r>
        <w:t>от 10 декабря 2007 г. N 916-01-ЗМО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</w:pPr>
      <w:r>
        <w:t>ПОРЯДОК И МЕТОДИКА</w:t>
      </w:r>
    </w:p>
    <w:p w:rsidR="00201AA8" w:rsidRDefault="00201AA8">
      <w:pPr>
        <w:pStyle w:val="ConsPlusTitle"/>
        <w:jc w:val="center"/>
      </w:pPr>
      <w:r>
        <w:t xml:space="preserve">РАСПРЕДЕЛЕНИЯ ДОТАЦИЙ НА ВЫРАВНИВАНИЕ </w:t>
      </w:r>
      <w:proofErr w:type="gramStart"/>
      <w:r>
        <w:t>БЮДЖЕТНОЙ</w:t>
      </w:r>
      <w:proofErr w:type="gramEnd"/>
    </w:p>
    <w:p w:rsidR="00201AA8" w:rsidRDefault="00201AA8">
      <w:pPr>
        <w:pStyle w:val="ConsPlusTitle"/>
        <w:jc w:val="center"/>
      </w:pPr>
      <w:r>
        <w:t>ОБЕСПЕЧЕННОСТИ МУНИЦИПАЛЬНЫХ РАЙОНОВ (ГОРОДСКИХ ОКРУГОВ),</w:t>
      </w:r>
    </w:p>
    <w:p w:rsidR="00201AA8" w:rsidRDefault="00201AA8">
      <w:pPr>
        <w:pStyle w:val="ConsPlusTitle"/>
        <w:jc w:val="center"/>
      </w:pPr>
      <w:r>
        <w:t xml:space="preserve">А ТАКЖЕ ПОРЯДОК ОПРЕДЕЛЕНИЯ КРИТЕРИЯ ВЫРАВНИВАНИЯ </w:t>
      </w:r>
      <w:proofErr w:type="gramStart"/>
      <w:r>
        <w:t>РАСЧЕТНОЙ</w:t>
      </w:r>
      <w:proofErr w:type="gramEnd"/>
    </w:p>
    <w:p w:rsidR="00201AA8" w:rsidRDefault="00201AA8">
      <w:pPr>
        <w:pStyle w:val="ConsPlusTitle"/>
        <w:jc w:val="center"/>
      </w:pPr>
      <w:r>
        <w:t>БЮДЖЕТНОЙ ОБЕСПЕЧЕННОСТИ МУНИЦИПАЛЬНЫХ РАЙОНОВ</w:t>
      </w:r>
    </w:p>
    <w:p w:rsidR="00201AA8" w:rsidRDefault="00201AA8">
      <w:pPr>
        <w:pStyle w:val="ConsPlusTitle"/>
        <w:jc w:val="center"/>
      </w:pPr>
      <w:r>
        <w:t>(ГОРОДСКИХ ОКРУГОВ)</w:t>
      </w:r>
    </w:p>
    <w:p w:rsidR="00201AA8" w:rsidRDefault="00201A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1A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1AA8" w:rsidRDefault="00201A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1AA8" w:rsidRDefault="00201A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201AA8" w:rsidRDefault="00201A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22.10.2010 </w:t>
            </w:r>
            <w:hyperlink r:id="rId19" w:history="1">
              <w:r>
                <w:rPr>
                  <w:color w:val="0000FF"/>
                </w:rPr>
                <w:t>N 1263-01-ЗМО</w:t>
              </w:r>
            </w:hyperlink>
            <w:r>
              <w:rPr>
                <w:color w:val="392C69"/>
              </w:rPr>
              <w:t xml:space="preserve">, от 12.11.2012 </w:t>
            </w:r>
            <w:hyperlink r:id="rId20" w:history="1">
              <w:r>
                <w:rPr>
                  <w:color w:val="0000FF"/>
                </w:rPr>
                <w:t>N 1527-01-ЗМО</w:t>
              </w:r>
            </w:hyperlink>
            <w:r>
              <w:rPr>
                <w:color w:val="392C69"/>
              </w:rPr>
              <w:t>,</w:t>
            </w:r>
          </w:p>
          <w:p w:rsidR="00201AA8" w:rsidRDefault="00201A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29.10.2013 </w:t>
            </w:r>
            <w:hyperlink r:id="rId21" w:history="1">
              <w:r>
                <w:rPr>
                  <w:color w:val="0000FF"/>
                </w:rPr>
                <w:t>N 1663-01-ЗМО</w:t>
              </w:r>
            </w:hyperlink>
            <w:r>
              <w:rPr>
                <w:color w:val="392C69"/>
              </w:rPr>
              <w:t xml:space="preserve"> (ред. 20.12.2013), от 31.10.2016 </w:t>
            </w:r>
            <w:hyperlink r:id="rId22" w:history="1">
              <w:r>
                <w:rPr>
                  <w:color w:val="0000FF"/>
                </w:rPr>
                <w:t>N 2046-01-ЗМО</w:t>
              </w:r>
            </w:hyperlink>
            <w:r>
              <w:rPr>
                <w:color w:val="392C69"/>
              </w:rPr>
              <w:t>,</w:t>
            </w:r>
          </w:p>
          <w:p w:rsidR="00201AA8" w:rsidRDefault="00201A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12.12.2017 </w:t>
            </w:r>
            <w:hyperlink r:id="rId23" w:history="1">
              <w:r>
                <w:rPr>
                  <w:color w:val="0000FF"/>
                </w:rPr>
                <w:t>N 2209-01-ЗМО</w:t>
              </w:r>
            </w:hyperlink>
            <w:r>
              <w:rPr>
                <w:color w:val="392C69"/>
              </w:rPr>
              <w:t xml:space="preserve">, от 06.12.2019 </w:t>
            </w:r>
            <w:hyperlink r:id="rId24" w:history="1">
              <w:r>
                <w:rPr>
                  <w:color w:val="0000FF"/>
                </w:rPr>
                <w:t>N 2433-01-ЗМО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1. Общие положения</w:t>
      </w:r>
    </w:p>
    <w:p w:rsidR="00201AA8" w:rsidRDefault="00201AA8">
      <w:pPr>
        <w:pStyle w:val="ConsPlusNormal"/>
        <w:jc w:val="center"/>
      </w:pPr>
      <w:proofErr w:type="gramStart"/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Мурманской области</w:t>
      </w:r>
      <w:proofErr w:type="gramEnd"/>
    </w:p>
    <w:p w:rsidR="00201AA8" w:rsidRDefault="00201AA8">
      <w:pPr>
        <w:pStyle w:val="ConsPlusNormal"/>
        <w:jc w:val="center"/>
      </w:pPr>
      <w:r>
        <w:t>от 06.12.2019 N 2433-01-ЗМО)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gramStart"/>
      <w:r>
        <w:t xml:space="preserve">Настоящие Порядок и методика распределения дотаций на выравнивание бюджетной обеспеченности муниципальных районов (городских округов), а также порядок определения критерия выравнивания расчетной бюджетной обеспеченности муниципальных районов (городских округов) устанавливают алгоритм определения общего объема дотаций на выравнивание бюджетной обеспеченности муниципальных районов (городских округов), </w:t>
      </w:r>
      <w:r>
        <w:lastRenderedPageBreak/>
        <w:t>критерия выравнивания расчетной бюджетной обеспеченности и алгоритм распределения дотаций на выравнивание бюджетной обеспеченности и включают следующие этапы:</w:t>
      </w:r>
      <w:proofErr w:type="gramEnd"/>
    </w:p>
    <w:p w:rsidR="00201AA8" w:rsidRDefault="00201AA8">
      <w:pPr>
        <w:pStyle w:val="ConsPlusNormal"/>
        <w:spacing w:before="220"/>
        <w:ind w:firstLine="540"/>
        <w:jc w:val="both"/>
      </w:pPr>
      <w:r>
        <w:t>расчет бюджетной обеспеченности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определение критерия выравнивания расчетной бюджетной обеспеченности и расчет размера дотации на выравнивание бюджетной обеспеченности бюджету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определение общего объема дотаций на выравнивание бюджетной обеспеченности муниципальных районов (городских округов).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2. Основные понятия, используемые в настоящей Методике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>Для целей настоящей Методики используются следующие основные понятия: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индекс налогового потенциала муниципального района (городского округа) - отношение оценки доходов, которые могут быть получены бюджетом муниципального района (городского округа) исходя из уровня развития и структуры экономики и налоговой базы из основных налоговых источников в расчете на одного жителя к аналогичному показателю по всем муниципальным районам (городским округам);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gramStart"/>
      <w:r>
        <w:t>индекс бюджетных расходов муниципального района (городского округа) - показатель, определяющий, во сколько раз больше (меньше) средств бюджета муниципального района (городского округа) в расчете на одного жителя по сравнению со средним по всем муниципальным районам (городским округам) уровнем необходимо затратить для осуществления полномочий по решению вопросов местного значения муниципального района (городского округа), с учетом специфики социально-демографического состава обслуживаемого населения и иных объективных</w:t>
      </w:r>
      <w:proofErr w:type="gramEnd"/>
      <w:r>
        <w:t xml:space="preserve"> факторов, влияющих на стоимость предоставляемых муниципальных услуг в расчете на одного жителя.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3. Порядок распределения дотаций и определение критерия</w:t>
      </w:r>
    </w:p>
    <w:p w:rsidR="00201AA8" w:rsidRDefault="00201AA8">
      <w:pPr>
        <w:pStyle w:val="ConsPlusTitle"/>
        <w:jc w:val="center"/>
      </w:pPr>
      <w:r>
        <w:t>выравнивания бюджетной обеспеченности</w:t>
      </w:r>
    </w:p>
    <w:p w:rsidR="00201AA8" w:rsidRDefault="00201AA8">
      <w:pPr>
        <w:pStyle w:val="ConsPlusNormal"/>
        <w:jc w:val="center"/>
      </w:pPr>
      <w:proofErr w:type="gramStart"/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Мурманской области</w:t>
      </w:r>
      <w:proofErr w:type="gramEnd"/>
    </w:p>
    <w:p w:rsidR="00201AA8" w:rsidRDefault="00201AA8">
      <w:pPr>
        <w:pStyle w:val="ConsPlusNormal"/>
        <w:jc w:val="center"/>
      </w:pPr>
      <w:r>
        <w:t>от 06.12.2019 N 2433-01-ЗМО)</w:t>
      </w:r>
    </w:p>
    <w:p w:rsidR="00201AA8" w:rsidRDefault="00201AA8">
      <w:pPr>
        <w:pStyle w:val="ConsPlusNormal"/>
        <w:jc w:val="center"/>
      </w:pPr>
      <w:proofErr w:type="gramStart"/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Мурманской области</w:t>
      </w:r>
      <w:proofErr w:type="gramEnd"/>
    </w:p>
    <w:p w:rsidR="00201AA8" w:rsidRDefault="00201AA8">
      <w:pPr>
        <w:pStyle w:val="ConsPlusNormal"/>
        <w:jc w:val="center"/>
      </w:pPr>
      <w:r>
        <w:t>от 29.10.2013 N 1663-01-ЗМО (ред. 20.12.2013))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>Общий объем дотаций на выравнивание бюджетной обеспеченности муниципальных районов (городских округов) из областного бюджета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Д = SUM </w:t>
      </w:r>
      <w:proofErr w:type="spellStart"/>
      <w:r>
        <w:t>Д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>, где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SUM </w:t>
      </w:r>
      <w:proofErr w:type="spellStart"/>
      <w:r>
        <w:t>Д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сумма дотаций на выравнивание бюджетной обеспеченности муниципальных районов (городских округов);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Д - общий объем дотаций на выравнивание бюджетной обеспеченности муниципальных районов (городских округов);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размер дотации на выравнивание бюджетной обеспеченности муниципальных районов (городских округов) для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Размер дотации на выравнивание бюджетной обеспеченности муниципальных районов (городских округов)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lastRenderedPageBreak/>
        <w:t>Д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= (ПД / Н) x (</w:t>
      </w: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</w:t>
      </w:r>
      <w:proofErr w:type="spellStart"/>
      <w:r>
        <w:t>БО</w:t>
      </w:r>
      <w:r>
        <w:rPr>
          <w:vertAlign w:val="subscript"/>
        </w:rPr>
        <w:t>j</w:t>
      </w:r>
      <w:proofErr w:type="spellEnd"/>
      <w:r>
        <w:t xml:space="preserve">) x </w:t>
      </w:r>
      <w:proofErr w:type="spellStart"/>
      <w:r>
        <w:t>ИБР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Н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СР</w:t>
      </w:r>
      <w:r>
        <w:rPr>
          <w:vertAlign w:val="subscript"/>
        </w:rPr>
        <w:t>j</w:t>
      </w:r>
      <w:proofErr w:type="spellEnd"/>
      <w:r>
        <w:t>, где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ПД - прогноз налоговых и неналоговых доходов бюджетов муниципальных районов (городских округов), рассчитанный с применением нормативов отчислений в бюджеты муниципальных районов, установленных в соответствии с требованиями Бюджетного </w:t>
      </w:r>
      <w:hyperlink r:id="rId28" w:history="1">
        <w:r>
          <w:rPr>
            <w:color w:val="0000FF"/>
          </w:rPr>
          <w:t>кодекса</w:t>
        </w:r>
      </w:hyperlink>
      <w:r>
        <w:t xml:space="preserve"> Российской Федерации, а также </w:t>
      </w:r>
      <w:hyperlink r:id="rId29" w:history="1">
        <w:r>
          <w:rPr>
            <w:color w:val="0000FF"/>
          </w:rPr>
          <w:t>статьи 5</w:t>
        </w:r>
      </w:hyperlink>
      <w:r>
        <w:t xml:space="preserve"> настоящего Закона;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бюджетная обеспеченность, установленная в качестве критерия выравнивания бюджетной обеспеченности муниципальных районов (городских округов);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бюджетная обеспеченность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ИБР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индекс бюджетных расходов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 на 1 января текущего финансового года;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СР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размер субсидии из бюджета j-</w:t>
      </w:r>
      <w:proofErr w:type="spellStart"/>
      <w:r>
        <w:t>го</w:t>
      </w:r>
      <w:proofErr w:type="spellEnd"/>
      <w:r>
        <w:t xml:space="preserve"> муниципального района (городского округа) в областной бюджет, определяемый в соответствии со </w:t>
      </w:r>
      <w:hyperlink r:id="rId30" w:history="1">
        <w:r>
          <w:rPr>
            <w:color w:val="0000FF"/>
          </w:rPr>
          <w:t>статьей 18</w:t>
        </w:r>
      </w:hyperlink>
      <w:r>
        <w:t xml:space="preserve"> настоящего Закона.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Бюджетная обеспеченность, установленная в качестве критерия выравнивания бюджетной обеспеченности муниципальных районов (городских округов) (</w:t>
      </w:r>
      <w:proofErr w:type="spellStart"/>
      <w:r>
        <w:t>БОкр</w:t>
      </w:r>
      <w:proofErr w:type="spellEnd"/>
      <w:r>
        <w:t>), определяется как среднее арифметическое значение суммы показателей бюджетной обеспеченности до распределения дотаций по муниципальным районам (городским округам)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= SUM </w:t>
      </w:r>
      <w:proofErr w:type="spellStart"/>
      <w:r>
        <w:t>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/ n x k, где</w:t>
      </w:r>
    </w:p>
    <w:p w:rsidR="00201AA8" w:rsidRDefault="00201AA8">
      <w:pPr>
        <w:pStyle w:val="ConsPlusNormal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Мурманской области от 31.10.2016 N 2046-01-ЗМО)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SUM </w:t>
      </w:r>
      <w:proofErr w:type="spellStart"/>
      <w:r>
        <w:t>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сумма показателей бюджетной обеспеченности муниципальных районов (городских округов), сложившаяся до распределения дотаций;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n - количество муниципальных районов (городских округов), участвующих в расчете;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k - коэффициент индексации на очередной финансовый год и плановый период, устанавливаемый законом Мурманской области об областном бюджете на очередной финансовый год и плановый период.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Законом</w:t>
        </w:r>
      </w:hyperlink>
      <w:r>
        <w:t xml:space="preserve"> Мурманской области от 31.10.2016 N 2046-01-ЗМО; 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Мурманской области от 12.12.2017 N 2209-01-ЗМО)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Рассчитанный прогноз налоговых и неналоговых доходов бюджетов муниципальных районов (городских округов) не является планируемым или рекомендуемым показателем и используется только для расчета бюджетной обеспеченности муниципальных районов (городских округов) в целях регулирования межбюджетных отношений.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4. Бюджетная обеспеченность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>Бюджетная обеспеченность муниципального района (городского округа) (</w:t>
      </w:r>
      <w:proofErr w:type="spellStart"/>
      <w:r>
        <w:t>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>)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= </w:t>
      </w:r>
      <w:proofErr w:type="spellStart"/>
      <w:r>
        <w:t>ИНП</w:t>
      </w:r>
      <w:r>
        <w:rPr>
          <w:vertAlign w:val="subscript"/>
        </w:rPr>
        <w:t>j</w:t>
      </w:r>
      <w:proofErr w:type="spellEnd"/>
      <w:r>
        <w:t xml:space="preserve"> / </w:t>
      </w:r>
      <w:proofErr w:type="spellStart"/>
      <w:r>
        <w:t>ИБР</w:t>
      </w:r>
      <w:r>
        <w:rPr>
          <w:vertAlign w:val="subscript"/>
        </w:rPr>
        <w:t>j</w:t>
      </w:r>
      <w:proofErr w:type="spellEnd"/>
      <w:r>
        <w:t>, где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ИНП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индекс налогового потенциала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ИБР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индекс бюджетных расходов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lastRenderedPageBreak/>
        <w:t>Бюджетная обеспеченность муниципального района (городского округа) после распределения дотаций на выравнивание бюджетной обеспеченности муниципальных районов (городских округов) определяется по следующей формуле: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РБО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= </w:t>
      </w:r>
      <w:proofErr w:type="spellStart"/>
      <w:r>
        <w:t>БО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БОв</w:t>
      </w:r>
      <w:r>
        <w:rPr>
          <w:vertAlign w:val="subscript"/>
        </w:rPr>
        <w:t>j</w:t>
      </w:r>
      <w:proofErr w:type="spellEnd"/>
      <w:r>
        <w:t>, где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РБО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бюджетная обеспеченность муниципального района (городского округа) после распределения дотаций на выравнивание бюджетной обеспеченности муниципальных районов (городских округов);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БОв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прирост бюджетной обеспеченности муниципального района (городского округа) за счет дотаций на выравнивание бюджетной обеспеченности, распределенных между бюджетами муниципальных районов (городских округов).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Прирост бюджетной обеспеченности муниципального района (городского округа) за счет дотаций на выравнивание бюджетной обеспеченности, распределенных между бюджетами муниципальных районов (городских округов), определяется по следующей формуле: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БОв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= </w:t>
      </w: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/ ПД / Н x </w:t>
      </w:r>
      <w:proofErr w:type="spellStart"/>
      <w:r>
        <w:t>ИБР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Н</w:t>
      </w:r>
      <w:r>
        <w:rPr>
          <w:vertAlign w:val="subscript"/>
        </w:rPr>
        <w:t>j</w:t>
      </w:r>
      <w:proofErr w:type="spellEnd"/>
      <w:r>
        <w:t>.</w:t>
      </w:r>
    </w:p>
    <w:p w:rsidR="00201AA8" w:rsidRDefault="00201AA8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Законом</w:t>
        </w:r>
      </w:hyperlink>
      <w:r>
        <w:t xml:space="preserve"> Мурманской области от 29.10.2013 N 1663-01-ЗМО (ред. 20.12.2013))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5. Индекс налогового потенциала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>Индекс налогового потенциала муниципального района (городского округа) (</w:t>
      </w:r>
      <w:proofErr w:type="spellStart"/>
      <w:r>
        <w:t>ИНП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>)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ИНП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= (</w:t>
      </w:r>
      <w:proofErr w:type="spellStart"/>
      <w:r>
        <w:t>НП</w:t>
      </w:r>
      <w:r>
        <w:rPr>
          <w:vertAlign w:val="subscript"/>
        </w:rPr>
        <w:t>j</w:t>
      </w:r>
      <w:proofErr w:type="spellEnd"/>
      <w:r>
        <w:t xml:space="preserve"> / </w:t>
      </w:r>
      <w:proofErr w:type="spellStart"/>
      <w:r>
        <w:t>Н</w:t>
      </w:r>
      <w:r>
        <w:rPr>
          <w:vertAlign w:val="subscript"/>
        </w:rPr>
        <w:t>j</w:t>
      </w:r>
      <w:proofErr w:type="spellEnd"/>
      <w:r>
        <w:t>) / (НП / Н), где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proofErr w:type="spellStart"/>
      <w:r>
        <w:t>НП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налоговый потенциал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НП - суммарный налоговый потенциал всех муниципальных районов (городских округов);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gramStart"/>
      <w:r>
        <w:t>Расчет налогового потенциала муниципального района (городского округа)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района (городского округа), прогноза поступлений данного налога с территории всех муниципальных районов (городских округов) в консолидированный бюджет Мурманской области, а также норматива отчислений от данного налога в бюджеты муниципальных районов.</w:t>
      </w:r>
      <w:proofErr w:type="gramEnd"/>
    </w:p>
    <w:p w:rsidR="00201AA8" w:rsidRDefault="00201AA8">
      <w:pPr>
        <w:pStyle w:val="ConsPlusNormal"/>
        <w:spacing w:before="220"/>
        <w:ind w:firstLine="540"/>
        <w:jc w:val="both"/>
      </w:pPr>
      <w:r>
        <w:t>Репрезентативная система налогов включает в себя отдельные налоги, зачисляемые в бюджеты муниципальных районов (городских округов), и отражает доходные возможности, которые учитываются при распределении финансовых сре</w:t>
      </w:r>
      <w:proofErr w:type="gramStart"/>
      <w:r>
        <w:t>дств в р</w:t>
      </w:r>
      <w:proofErr w:type="gramEnd"/>
      <w:r>
        <w:t>амках межбюджетного регулирования. Налоговые доходы, не входящие в репрезентативную систему, а также неналоговые доходы не учитываются при расчете бюджетной обеспеченности муниципальных районов (городских округов).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lastRenderedPageBreak/>
        <w:t>Состав репрезентативной системы налогов, перечень экономических показателей, характеризующих налоговый потенциал муниципальных районов (городских округов) по видам налогов, а также источники информации приведены в таблице.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jc w:val="center"/>
      </w:pPr>
      <w:r>
        <w:t>Состав</w:t>
      </w:r>
    </w:p>
    <w:p w:rsidR="00201AA8" w:rsidRDefault="00201AA8">
      <w:pPr>
        <w:pStyle w:val="ConsPlusNormal"/>
        <w:jc w:val="center"/>
      </w:pPr>
      <w:r>
        <w:t>репрезентативной системы налогов для расчета налогового</w:t>
      </w:r>
    </w:p>
    <w:p w:rsidR="00201AA8" w:rsidRDefault="00201AA8">
      <w:pPr>
        <w:pStyle w:val="ConsPlusNormal"/>
        <w:jc w:val="center"/>
      </w:pPr>
      <w:r>
        <w:t>потенциала муниципальных районов (городских округов)</w:t>
      </w:r>
    </w:p>
    <w:p w:rsidR="00201AA8" w:rsidRDefault="00201AA8">
      <w:pPr>
        <w:pStyle w:val="ConsPlusNormal"/>
        <w:jc w:val="center"/>
      </w:pPr>
      <w:proofErr w:type="gramStart"/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Мурманской области</w:t>
      </w:r>
      <w:proofErr w:type="gramEnd"/>
    </w:p>
    <w:p w:rsidR="00201AA8" w:rsidRDefault="00201AA8">
      <w:pPr>
        <w:pStyle w:val="ConsPlusNormal"/>
        <w:jc w:val="center"/>
      </w:pPr>
      <w:r>
        <w:t>от 29.10.2013 N 1663-01-ЗМО (ред. 20.12.2013))</w:t>
      </w:r>
    </w:p>
    <w:p w:rsidR="00201AA8" w:rsidRDefault="00201A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3288"/>
        <w:gridCol w:w="2551"/>
      </w:tblGrid>
      <w:tr w:rsidR="00201AA8">
        <w:tc>
          <w:tcPr>
            <w:tcW w:w="3231" w:type="dxa"/>
          </w:tcPr>
          <w:p w:rsidR="00201AA8" w:rsidRDefault="00201AA8">
            <w:pPr>
              <w:pStyle w:val="ConsPlusNormal"/>
              <w:jc w:val="center"/>
            </w:pPr>
            <w:r>
              <w:t>Налоги</w:t>
            </w:r>
          </w:p>
        </w:tc>
        <w:tc>
          <w:tcPr>
            <w:tcW w:w="3288" w:type="dxa"/>
          </w:tcPr>
          <w:p w:rsidR="00201AA8" w:rsidRDefault="00201AA8">
            <w:pPr>
              <w:pStyle w:val="ConsPlusNormal"/>
              <w:jc w:val="center"/>
            </w:pPr>
            <w:r>
              <w:t>Экономический показатель, характеризующий налоговый потенциал муниципального района (городского округа)</w:t>
            </w:r>
          </w:p>
        </w:tc>
        <w:tc>
          <w:tcPr>
            <w:tcW w:w="2551" w:type="dxa"/>
          </w:tcPr>
          <w:p w:rsidR="00201AA8" w:rsidRDefault="00201AA8">
            <w:pPr>
              <w:pStyle w:val="ConsPlusNormal"/>
              <w:jc w:val="center"/>
            </w:pPr>
            <w:r>
              <w:t>Источник информации</w:t>
            </w:r>
          </w:p>
        </w:tc>
      </w:tr>
      <w:tr w:rsidR="00201AA8">
        <w:tc>
          <w:tcPr>
            <w:tcW w:w="3231" w:type="dxa"/>
          </w:tcPr>
          <w:p w:rsidR="00201AA8" w:rsidRDefault="00201AA8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3288" w:type="dxa"/>
          </w:tcPr>
          <w:p w:rsidR="00201AA8" w:rsidRDefault="00201AA8">
            <w:pPr>
              <w:pStyle w:val="ConsPlusNormal"/>
            </w:pPr>
            <w:r>
              <w:t>Налогооблагаемый фонд оплаты труда в целом по отраслям экономики</w:t>
            </w:r>
          </w:p>
        </w:tc>
        <w:tc>
          <w:tcPr>
            <w:tcW w:w="2551" w:type="dxa"/>
          </w:tcPr>
          <w:p w:rsidR="00201AA8" w:rsidRDefault="00201AA8">
            <w:pPr>
              <w:pStyle w:val="ConsPlusNormal"/>
            </w:pPr>
            <w:r>
              <w:t>Территориальный орган Федеральной службы государственной статистики по Мурманской области;</w:t>
            </w:r>
          </w:p>
          <w:p w:rsidR="00201AA8" w:rsidRDefault="00201AA8">
            <w:pPr>
              <w:pStyle w:val="ConsPlusNormal"/>
            </w:pPr>
            <w:r>
              <w:t>Управление Федеральной налоговой службы России по Мурманской области (форма N 5-НДФЛ)</w:t>
            </w:r>
          </w:p>
        </w:tc>
      </w:tr>
      <w:tr w:rsidR="00201AA8">
        <w:tc>
          <w:tcPr>
            <w:tcW w:w="3231" w:type="dxa"/>
          </w:tcPr>
          <w:p w:rsidR="00201AA8" w:rsidRDefault="00201AA8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3288" w:type="dxa"/>
          </w:tcPr>
          <w:p w:rsidR="00201AA8" w:rsidRDefault="00201AA8">
            <w:pPr>
              <w:pStyle w:val="ConsPlusNormal"/>
            </w:pPr>
            <w:r>
              <w:t>Оборот розничной торговли, оборот общественного питания и платных услуг, оказываемых физическим лицам</w:t>
            </w:r>
          </w:p>
        </w:tc>
        <w:tc>
          <w:tcPr>
            <w:tcW w:w="2551" w:type="dxa"/>
          </w:tcPr>
          <w:p w:rsidR="00201AA8" w:rsidRDefault="00201AA8">
            <w:pPr>
              <w:pStyle w:val="ConsPlusNormal"/>
            </w:pPr>
            <w:r>
              <w:t>Территориальный орган Федеральной службы государственной статистики по Мурманской области, Управление Федеральной налоговой службы России по Мурманской области (форма N 5-ЕНВД)</w:t>
            </w:r>
          </w:p>
        </w:tc>
      </w:tr>
      <w:tr w:rsidR="00201AA8">
        <w:tc>
          <w:tcPr>
            <w:tcW w:w="3231" w:type="dxa"/>
          </w:tcPr>
          <w:p w:rsidR="00201AA8" w:rsidRDefault="00201AA8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3288" w:type="dxa"/>
          </w:tcPr>
          <w:p w:rsidR="00201AA8" w:rsidRDefault="00201AA8">
            <w:pPr>
              <w:pStyle w:val="ConsPlusNormal"/>
            </w:pPr>
            <w:r>
              <w:t>Доходы налогоплательщиков, выбравших в качестве объекта налогообложения доходы.</w:t>
            </w:r>
          </w:p>
          <w:p w:rsidR="00201AA8" w:rsidRDefault="00201AA8">
            <w:pPr>
              <w:pStyle w:val="ConsPlusNormal"/>
            </w:pPr>
            <w:r>
              <w:t>Доходы налогоплательщиков, выбравших в качестве объекта налогообложения доходы, уменьшенные на величину расходов.</w:t>
            </w:r>
          </w:p>
          <w:p w:rsidR="00201AA8" w:rsidRDefault="00201AA8">
            <w:pPr>
              <w:pStyle w:val="ConsPlusNormal"/>
            </w:pPr>
            <w:r>
              <w:t>Минимальный налог</w:t>
            </w:r>
          </w:p>
        </w:tc>
        <w:tc>
          <w:tcPr>
            <w:tcW w:w="2551" w:type="dxa"/>
          </w:tcPr>
          <w:p w:rsidR="00201AA8" w:rsidRDefault="00201AA8">
            <w:pPr>
              <w:pStyle w:val="ConsPlusNormal"/>
            </w:pPr>
            <w:r>
              <w:t>Управление Федеральной налоговой службы России по Мурманской области (форма N 5-УСН)</w:t>
            </w:r>
          </w:p>
        </w:tc>
      </w:tr>
      <w:tr w:rsidR="00201AA8">
        <w:tblPrEx>
          <w:tblBorders>
            <w:insideH w:val="nil"/>
          </w:tblBorders>
        </w:tblPrEx>
        <w:tc>
          <w:tcPr>
            <w:tcW w:w="3231" w:type="dxa"/>
            <w:tcBorders>
              <w:bottom w:val="nil"/>
            </w:tcBorders>
          </w:tcPr>
          <w:p w:rsidR="00201AA8" w:rsidRDefault="00201AA8">
            <w:pPr>
              <w:pStyle w:val="ConsPlusNormal"/>
            </w:pPr>
            <w: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производимые на территории Российской </w:t>
            </w:r>
            <w:r>
              <w:lastRenderedPageBreak/>
              <w:t>Федерации</w:t>
            </w:r>
          </w:p>
        </w:tc>
        <w:tc>
          <w:tcPr>
            <w:tcW w:w="3288" w:type="dxa"/>
            <w:tcBorders>
              <w:bottom w:val="nil"/>
            </w:tcBorders>
          </w:tcPr>
          <w:p w:rsidR="00201AA8" w:rsidRDefault="00201AA8">
            <w:pPr>
              <w:pStyle w:val="ConsPlusNormal"/>
            </w:pPr>
            <w:r>
              <w:lastRenderedPageBreak/>
              <w:t xml:space="preserve">Протяженность автомобильных дорог общего пользования местного значения муниципальных образований, органы местного самоуправления которых решают вопросы местного </w:t>
            </w:r>
            <w:r>
              <w:lastRenderedPageBreak/>
              <w:t>значения в сфере дорожной деятельности</w:t>
            </w:r>
          </w:p>
        </w:tc>
        <w:tc>
          <w:tcPr>
            <w:tcW w:w="2551" w:type="dxa"/>
            <w:tcBorders>
              <w:bottom w:val="nil"/>
            </w:tcBorders>
          </w:tcPr>
          <w:p w:rsidR="00201AA8" w:rsidRDefault="00201AA8">
            <w:pPr>
              <w:pStyle w:val="ConsPlusNormal"/>
            </w:pPr>
            <w:r>
              <w:lastRenderedPageBreak/>
              <w:t>Территориальный орган Федеральной службы государственной статистики по Мурманской области</w:t>
            </w:r>
          </w:p>
        </w:tc>
      </w:tr>
      <w:tr w:rsidR="00201AA8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201AA8" w:rsidRDefault="00201AA8">
            <w:pPr>
              <w:pStyle w:val="ConsPlusNormal"/>
              <w:jc w:val="both"/>
            </w:pPr>
            <w:r>
              <w:lastRenderedPageBreak/>
              <w:t xml:space="preserve">строка введена </w:t>
            </w:r>
            <w:hyperlink r:id="rId4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Мурманской области от 12.12.2017 N 2209-01-ЗМО</w:t>
            </w:r>
          </w:p>
        </w:tc>
      </w:tr>
    </w:tbl>
    <w:p w:rsidR="00201AA8" w:rsidRDefault="00201AA8">
      <w:pPr>
        <w:pStyle w:val="ConsPlusNormal"/>
        <w:jc w:val="both"/>
      </w:pPr>
    </w:p>
    <w:p w:rsidR="00201AA8" w:rsidRDefault="00201AA8">
      <w:pPr>
        <w:pStyle w:val="ConsPlusTitle"/>
        <w:jc w:val="center"/>
        <w:outlineLvl w:val="1"/>
      </w:pPr>
      <w:r>
        <w:t>6. Индекс бюджетных расходов</w:t>
      </w:r>
    </w:p>
    <w:p w:rsidR="00201AA8" w:rsidRDefault="00201AA8">
      <w:pPr>
        <w:pStyle w:val="ConsPlusNormal"/>
        <w:jc w:val="center"/>
      </w:pPr>
      <w:proofErr w:type="gramStart"/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Мурманской области</w:t>
      </w:r>
      <w:proofErr w:type="gramEnd"/>
    </w:p>
    <w:p w:rsidR="00201AA8" w:rsidRDefault="00201AA8">
      <w:pPr>
        <w:pStyle w:val="ConsPlusNormal"/>
        <w:jc w:val="center"/>
      </w:pPr>
      <w:r>
        <w:t>от 12.12.2017 N 2209-01-ЗМО)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>Индекс бюджетных расходов муниципального района (городского округа) (</w:t>
      </w:r>
      <w:proofErr w:type="spellStart"/>
      <w:r>
        <w:t>ИБР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>)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25" style="width:289.5pt;height:24pt" coordsize="" o:spt="100" adj="0,,0" path="" filled="f" stroked="f">
            <v:stroke joinstyle="miter"/>
            <v:imagedata r:id="rId43" o:title="base_23639_95978_32768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26" style="width:36pt;height:22.5pt" coordsize="" o:spt="100" adj="0,,0" path="" filled="f" stroked="f">
            <v:stroke joinstyle="miter"/>
            <v:imagedata r:id="rId44" o:title="base_23639_95978_32769"/>
            <v:formulas/>
            <v:path o:connecttype="segments"/>
          </v:shape>
        </w:pict>
      </w:r>
      <w:r>
        <w:t xml:space="preserve"> - коэффициент стоимости предоставления муниципальных услуг в j-м муниципальном районе (городском округе);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27" style="width:29.25pt;height:22.5pt" coordsize="" o:spt="100" adj="0,,0" path="" filled="f" stroked="f">
            <v:stroke joinstyle="miter"/>
            <v:imagedata r:id="rId45" o:title="base_23639_95978_32770"/>
            <v:formulas/>
            <v:path o:connecttype="segments"/>
          </v:shape>
        </w:pict>
      </w:r>
      <w:r>
        <w:t xml:space="preserve"> - коэффициент структуры потребителей муниципальных услуг в j-м муниципальном районе (городском округе);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стоимости предоставления муниципальных услуг муниципального района (городского округа) </w:t>
      </w:r>
      <w:r w:rsidRPr="006208FC">
        <w:rPr>
          <w:position w:val="-11"/>
        </w:rPr>
        <w:pict>
          <v:shape id="_x0000_i1028" style="width:47.25pt;height:22.5pt" coordsize="" o:spt="100" adj="0,,0" path="" filled="f" stroked="f">
            <v:stroke joinstyle="miter"/>
            <v:imagedata r:id="rId46" o:title="base_23639_95978_32771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29" style="width:270pt;height:22.5pt" coordsize="" o:spt="100" adj="0,,0" path="" filled="f" stroked="f">
            <v:stroke joinstyle="miter"/>
            <v:imagedata r:id="rId47" o:title="base_23639_95978_32772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30" style="width:23.25pt;height:22.5pt" coordsize="" o:spt="100" adj="0,,0" path="" filled="f" stroked="f">
            <v:stroke joinstyle="miter"/>
            <v:imagedata r:id="rId48" o:title="base_23639_95978_32773"/>
            <v:formulas/>
            <v:path o:connecttype="segments"/>
          </v:shape>
        </w:pict>
      </w:r>
      <w:r>
        <w:t xml:space="preserve"> - коэффициент стоимости предоставления коммунальных услуг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31" style="width:23.25pt;height:22.5pt" coordsize="" o:spt="100" adj="0,,0" path="" filled="f" stroked="f">
            <v:stroke joinstyle="miter"/>
            <v:imagedata r:id="rId49" o:title="base_23639_95978_32774"/>
            <v:formulas/>
            <v:path o:connecttype="segments"/>
          </v:shape>
        </w:pict>
      </w:r>
      <w:r>
        <w:t xml:space="preserve"> - коэффициент уплаты налога на имущество организаций в областной бюджет по муниципальным учреждениям в j-м муниципальном районе (городском округе);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32" style="width:18.75pt;height:22.5pt" coordsize="" o:spt="100" adj="0,,0" path="" filled="f" stroked="f">
            <v:stroke joinstyle="miter"/>
            <v:imagedata r:id="rId50" o:title="base_23639_95978_32775"/>
            <v:formulas/>
            <v:path o:connecttype="segments"/>
          </v:shape>
        </w:pict>
      </w:r>
      <w:r>
        <w:t xml:space="preserve"> - коэффициент содержания автомобильных дорог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стоимости предоставления коммунальных услуг муниципального района (городского округа) </w:t>
      </w:r>
      <w:r w:rsidRPr="006208FC">
        <w:rPr>
          <w:position w:val="-11"/>
        </w:rPr>
        <w:pict>
          <v:shape id="_x0000_i1033" style="width:33pt;height:22.5pt" coordsize="" o:spt="100" adj="0,,0" path="" filled="f" stroked="f">
            <v:stroke joinstyle="miter"/>
            <v:imagedata r:id="rId51" o:title="base_23639_95978_32776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34" style="width:301.5pt;height:22.5pt" coordsize="" o:spt="100" adj="0,,0" path="" filled="f" stroked="f">
            <v:stroke joinstyle="miter"/>
            <v:imagedata r:id="rId52" o:title="base_23639_95978_32777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35" style="width:24pt;height:22.5pt" coordsize="" o:spt="100" adj="0,,0" path="" filled="f" stroked="f">
            <v:stroke joinstyle="miter"/>
            <v:imagedata r:id="rId53" o:title="base_23639_95978_32778"/>
            <v:formulas/>
            <v:path o:connecttype="segments"/>
          </v:shape>
        </w:pict>
      </w:r>
      <w:r>
        <w:t xml:space="preserve"> - тариф на водоснабжение для j-</w:t>
      </w:r>
      <w:proofErr w:type="spellStart"/>
      <w:r>
        <w:t>го</w:t>
      </w:r>
      <w:proofErr w:type="spellEnd"/>
      <w:r>
        <w:t xml:space="preserve"> муниципального района (городского округа), рассчитываемый как среднее значение между тарифом на холодное водоснабжение (по доле 66 процентов от тарифа на холодное водоснабжение) и тарифом на горячее водоснабжение (по доле 34 процента от тарифа на горячее водоснабжение);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lastRenderedPageBreak/>
        <w:pict>
          <v:shape id="_x0000_i1036" style="width:29.25pt;height:22.5pt" coordsize="" o:spt="100" adj="0,,0" path="" filled="f" stroked="f">
            <v:stroke joinstyle="miter"/>
            <v:imagedata r:id="rId54" o:title="base_23639_95978_32779"/>
            <v:formulas/>
            <v:path o:connecttype="segments"/>
          </v:shape>
        </w:pict>
      </w:r>
      <w:r>
        <w:t xml:space="preserve"> - тариф на отопление для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37" style="width:19.5pt;height:22.5pt" coordsize="" o:spt="100" adj="0,,0" path="" filled="f" stroked="f">
            <v:stroke joinstyle="miter"/>
            <v:imagedata r:id="rId55" o:title="base_23639_95978_32780"/>
            <v:formulas/>
            <v:path o:connecttype="segments"/>
          </v:shape>
        </w:pict>
      </w:r>
      <w:r>
        <w:t xml:space="preserve"> - тариф на электроснабжение для j-</w:t>
      </w:r>
      <w:proofErr w:type="spellStart"/>
      <w:r>
        <w:t>го</w:t>
      </w:r>
      <w:proofErr w:type="spellEnd"/>
      <w:r>
        <w:t xml:space="preserve"> муниципального района (городского округа),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электроплитами. </w:t>
      </w:r>
      <w:proofErr w:type="gramStart"/>
      <w:r>
        <w:t>При отсутствии установленного тарифа на электроснабжение в домах с газовыми плитами в расчет</w:t>
      </w:r>
      <w:proofErr w:type="gramEnd"/>
      <w:r>
        <w:t xml:space="preserve"> принимается установленный тариф на электроснабжение в домах с электроплитами;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Т</w:t>
      </w:r>
      <w:r>
        <w:rPr>
          <w:vertAlign w:val="superscript"/>
        </w:rPr>
        <w:t>вод</w:t>
      </w:r>
      <w:proofErr w:type="spellEnd"/>
      <w:r>
        <w:t xml:space="preserve"> - средний тариф на водоснабжение по муниципальным районам (городским округам);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Т</w:t>
      </w:r>
      <w:r>
        <w:rPr>
          <w:vertAlign w:val="superscript"/>
        </w:rPr>
        <w:t>тепл</w:t>
      </w:r>
      <w:proofErr w:type="spellEnd"/>
      <w:r>
        <w:t xml:space="preserve"> - средний тариф на отопление по муниципальным районам (городским округам);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Т</w:t>
      </w:r>
      <w:r>
        <w:rPr>
          <w:vertAlign w:val="superscript"/>
        </w:rPr>
        <w:t>эл</w:t>
      </w:r>
      <w:proofErr w:type="spellEnd"/>
      <w:r>
        <w:t xml:space="preserve"> - средний тариф на электроснабжение по муниципальным районам (городским округам).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уплаты налога на имущество организаций в областной бюджет по муниципальным учреждениям </w:t>
      </w:r>
      <w:r w:rsidRPr="006208FC">
        <w:rPr>
          <w:position w:val="-11"/>
        </w:rPr>
        <w:pict>
          <v:shape id="_x0000_i1038" style="width:33.75pt;height:22.5pt" coordsize="" o:spt="100" adj="0,,0" path="" filled="f" stroked="f">
            <v:stroke joinstyle="miter"/>
            <v:imagedata r:id="rId56" o:title="base_23639_95978_32781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39" style="width:157.5pt;height:22.5pt" coordsize="" o:spt="100" adj="0,,0" path="" filled="f" stroked="f">
            <v:stroke joinstyle="miter"/>
            <v:imagedata r:id="rId57" o:title="base_23639_95978_32782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proofErr w:type="spellStart"/>
      <w:r>
        <w:t>ОС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остаточная стоимость имущества в j-м муниципальном районе (городском округе);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ОС - остаточная стоимость имущества по муниципальным районам (городским округам)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содержания автомобильных дорог муниципального района (городского округа) </w:t>
      </w:r>
      <w:r w:rsidRPr="006208FC">
        <w:rPr>
          <w:position w:val="-11"/>
        </w:rPr>
        <w:pict>
          <v:shape id="_x0000_i1040" style="width:30pt;height:22.5pt" coordsize="" o:spt="100" adj="0,,0" path="" filled="f" stroked="f">
            <v:stroke joinstyle="miter"/>
            <v:imagedata r:id="rId58" o:title="base_23639_95978_32783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41" style="width:286.5pt;height:24pt" coordsize="" o:spt="100" adj="0,,0" path="" filled="f" stroked="f">
            <v:stroke joinstyle="miter"/>
            <v:imagedata r:id="rId59" o:title="base_23639_95978_32784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42" style="width:204.75pt;height:24pt" coordsize="" o:spt="100" adj="0,,0" path="" filled="f" stroked="f">
            <v:stroke joinstyle="miter"/>
            <v:imagedata r:id="rId60" o:title="base_23639_95978_32785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proofErr w:type="spellStart"/>
      <w:r>
        <w:t>L</w:t>
      </w:r>
      <w:r>
        <w:rPr>
          <w:vertAlign w:val="subscript"/>
        </w:rPr>
        <w:t>j</w:t>
      </w:r>
      <w:proofErr w:type="spellEnd"/>
      <w:r>
        <w:t xml:space="preserve"> - протяженность автомобильных дорог общего пользования местного значения в j-м муниципальном районе (городском округе);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L - протяженность автомобильных дорог общего пользования местного значения в муниципальных районах (городских округах)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структуры потребителей муниципальных услуг муниципального района (городского округа) </w:t>
      </w:r>
      <w:r w:rsidRPr="006208FC">
        <w:rPr>
          <w:position w:val="-11"/>
        </w:rPr>
        <w:pict>
          <v:shape id="_x0000_i1043" style="width:39pt;height:22.5pt" coordsize="" o:spt="100" adj="0,,0" path="" filled="f" stroked="f">
            <v:stroke joinstyle="miter"/>
            <v:imagedata r:id="rId61" o:title="base_23639_95978_32786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44" style="width:377.25pt;height:24pt" coordsize="" o:spt="100" adj="0,,0" path="" filled="f" stroked="f">
            <v:stroke joinstyle="miter"/>
            <v:imagedata r:id="rId62" o:title="base_23639_95978_32787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lastRenderedPageBreak/>
        <w:t xml:space="preserve">где </w:t>
      </w:r>
      <w:r w:rsidRPr="006208FC">
        <w:rPr>
          <w:position w:val="-11"/>
        </w:rPr>
        <w:pict>
          <v:shape id="_x0000_i1045" style="width:21pt;height:22.5pt" coordsize="" o:spt="100" adj="0,,0" path="" filled="f" stroked="f">
            <v:stroke joinstyle="miter"/>
            <v:imagedata r:id="rId63" o:title="base_23639_95978_32788"/>
            <v:formulas/>
            <v:path o:connecttype="segments"/>
          </v:shape>
        </w:pict>
      </w:r>
      <w:r>
        <w:t xml:space="preserve"> - коэффициент масштаба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46" style="width:23.25pt;height:22.5pt" coordsize="" o:spt="100" adj="0,,0" path="" filled="f" stroked="f">
            <v:stroke joinstyle="miter"/>
            <v:imagedata r:id="rId64" o:title="base_23639_95978_32789"/>
            <v:formulas/>
            <v:path o:connecttype="segments"/>
          </v:shape>
        </w:pict>
      </w:r>
      <w:r>
        <w:t xml:space="preserve"> - коэффициент плотности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47" style="width:25.5pt;height:22.5pt" coordsize="" o:spt="100" adj="0,,0" path="" filled="f" stroked="f">
            <v:stroke joinstyle="miter"/>
            <v:imagedata r:id="rId65" o:title="base_23639_95978_32790"/>
            <v:formulas/>
            <v:path o:connecttype="segments"/>
          </v:shape>
        </w:pict>
      </w:r>
      <w:r>
        <w:t xml:space="preserve"> - коэффициент численности детей в возрасте от 7 до 16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48" style="width:23.25pt;height:22.5pt" coordsize="" o:spt="100" adj="0,,0" path="" filled="f" stroked="f">
            <v:stroke joinstyle="miter"/>
            <v:imagedata r:id="rId66" o:title="base_23639_95978_32791"/>
            <v:formulas/>
            <v:path o:connecttype="segments"/>
          </v:shape>
        </w:pict>
      </w:r>
      <w:r>
        <w:t xml:space="preserve"> - коэффициент численности детей в возрасте от 0 до 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49" style="width:26.25pt;height:22.5pt" coordsize="" o:spt="100" adj="0,,0" path="" filled="f" stroked="f">
            <v:stroke joinstyle="miter"/>
            <v:imagedata r:id="rId67" o:title="base_23639_95978_32792"/>
            <v:formulas/>
            <v:path o:connecttype="segments"/>
          </v:shape>
        </w:pict>
      </w:r>
      <w:r>
        <w:t xml:space="preserve"> - коэффициент возрастной структуры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масштаба муниципального района (городского округа) </w:t>
      </w:r>
      <w:r w:rsidRPr="006208FC">
        <w:rPr>
          <w:position w:val="-11"/>
        </w:rPr>
        <w:pict>
          <v:shape id="_x0000_i1050" style="width:30.75pt;height:22.5pt" coordsize="" o:spt="100" adj="0,,0" path="" filled="f" stroked="f">
            <v:stroke joinstyle="miter"/>
            <v:imagedata r:id="rId68" o:title="base_23639_95978_32793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51" style="width:155.25pt;height:22.5pt" coordsize="" o:spt="100" adj="0,,0" path="" filled="f" stroked="f">
            <v:stroke joinstyle="miter"/>
            <v:imagedata r:id="rId69" o:title="base_23639_95978_32794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r>
        <w:rPr>
          <w:vertAlign w:val="superscript"/>
        </w:rPr>
        <w:t>ср</w:t>
      </w:r>
      <w:proofErr w:type="spellEnd"/>
      <w:r>
        <w:t xml:space="preserve"> - средняя численность населения муниципальных районов (городских округов)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плотности населения муниципального района (городского округа) </w:t>
      </w:r>
      <w:r w:rsidRPr="006208FC">
        <w:rPr>
          <w:position w:val="-11"/>
        </w:rPr>
        <w:pict>
          <v:shape id="_x0000_i1052" style="width:33pt;height:22.5pt" coordsize="" o:spt="100" adj="0,,0" path="" filled="f" stroked="f">
            <v:stroke joinstyle="miter"/>
            <v:imagedata r:id="rId70" o:title="base_23639_95978_32795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53" style="width:204pt;height:22.5pt" coordsize="" o:spt="100" adj="0,,0" path="" filled="f" stroked="f">
            <v:stroke joinstyle="miter"/>
            <v:imagedata r:id="rId71" o:title="base_23639_95978_32796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1"/>
        </w:rPr>
        <w:pict>
          <v:shape id="_x0000_i1054" style="width:157.5pt;height:22.5pt" coordsize="" o:spt="100" adj="0,,0" path="" filled="f" stroked="f">
            <v:stroke joinstyle="miter"/>
            <v:imagedata r:id="rId72" o:title="base_23639_95978_32797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proofErr w:type="spellStart"/>
      <w:r>
        <w:t>П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плотность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П</w:t>
      </w:r>
      <w:r>
        <w:rPr>
          <w:vertAlign w:val="superscript"/>
        </w:rPr>
        <w:t>ср</w:t>
      </w:r>
      <w:proofErr w:type="spellEnd"/>
      <w:r>
        <w:t xml:space="preserve"> - средняя плотность населения в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численности детей в возрасте от 7 до 16 лет муниципального района (городского округа) </w:t>
      </w:r>
      <w:r w:rsidRPr="006208FC">
        <w:rPr>
          <w:position w:val="-11"/>
        </w:rPr>
        <w:pict>
          <v:shape id="_x0000_i1055" style="width:35.25pt;height:22.5pt" coordsize="" o:spt="100" adj="0,,0" path="" filled="f" stroked="f">
            <v:stroke joinstyle="miter"/>
            <v:imagedata r:id="rId73" o:title="base_23639_95978_32798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56" style="width:164.25pt;height:24pt" coordsize="" o:spt="100" adj="0,,0" path="" filled="f" stroked="f">
            <v:stroke joinstyle="miter"/>
            <v:imagedata r:id="rId74" o:title="base_23639_95978_32799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57" style="width:26.25pt;height:22.5pt" coordsize="" o:spt="100" adj="0,,0" path="" filled="f" stroked="f">
            <v:stroke joinstyle="miter"/>
            <v:imagedata r:id="rId75" o:title="base_23639_95978_32800"/>
            <v:formulas/>
            <v:path o:connecttype="segments"/>
          </v:shape>
        </w:pict>
      </w:r>
      <w:r>
        <w:t xml:space="preserve"> - численность детей в возрасте от 7 до 16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r>
        <w:rPr>
          <w:vertAlign w:val="superscript"/>
        </w:rPr>
        <w:t>шк</w:t>
      </w:r>
      <w:proofErr w:type="spellEnd"/>
      <w:r>
        <w:t xml:space="preserve"> - численность детей в возрасте от 7 до 16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lastRenderedPageBreak/>
        <w:t>Н - численность постоянного населения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численности детей в возрасте от 0 до 6 лет муниципального района (городского округа) </w:t>
      </w:r>
      <w:r w:rsidRPr="006208FC">
        <w:rPr>
          <w:position w:val="-11"/>
        </w:rPr>
        <w:pict>
          <v:shape id="_x0000_i1058" style="width:33pt;height:22.5pt" coordsize="" o:spt="100" adj="0,,0" path="" filled="f" stroked="f">
            <v:stroke joinstyle="miter"/>
            <v:imagedata r:id="rId76" o:title="base_23639_95978_32801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2"/>
        </w:rPr>
        <w:pict>
          <v:shape id="_x0000_i1059" style="width:157.5pt;height:24pt" coordsize="" o:spt="100" adj="0,,0" path="" filled="f" stroked="f">
            <v:stroke joinstyle="miter"/>
            <v:imagedata r:id="rId77" o:title="base_23639_95978_32802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60" style="width:24pt;height:22.5pt" coordsize="" o:spt="100" adj="0,,0" path="" filled="f" stroked="f">
            <v:stroke joinstyle="miter"/>
            <v:imagedata r:id="rId78" o:title="base_23639_95978_32803"/>
            <v:formulas/>
            <v:path o:connecttype="segments"/>
          </v:shape>
        </w:pict>
      </w:r>
      <w:r>
        <w:t xml:space="preserve"> - численность детей в возрасте от 0 до 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r>
        <w:rPr>
          <w:vertAlign w:val="superscript"/>
        </w:rPr>
        <w:t>дс</w:t>
      </w:r>
      <w:proofErr w:type="spellEnd"/>
      <w:r>
        <w:t xml:space="preserve"> - численность детей в возрасте от 0 до 6 лет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 xml:space="preserve">Коэффициент возрастной структуры населения муниципального района (городского округа) </w:t>
      </w:r>
      <w:r w:rsidRPr="006208FC">
        <w:rPr>
          <w:position w:val="-11"/>
        </w:rPr>
        <w:pict>
          <v:shape id="_x0000_i1061" style="width:36pt;height:22.5pt" coordsize="" o:spt="100" adj="0,,0" path="" filled="f" stroked="f">
            <v:stroke joinstyle="miter"/>
            <v:imagedata r:id="rId79" o:title="base_23639_95978_32804"/>
            <v:formulas/>
            <v:path o:connecttype="segments"/>
          </v:shape>
        </w:pict>
      </w:r>
      <w:r>
        <w:t xml:space="preserve"> рассчитывается по следующей формуле: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 w:rsidRPr="006208FC">
        <w:rPr>
          <w:position w:val="-15"/>
        </w:rPr>
        <w:pict>
          <v:shape id="_x0000_i1062" style="width:273pt;height:26.25pt" coordsize="" o:spt="100" adj="0,,0" path="" filled="f" stroked="f">
            <v:stroke joinstyle="miter"/>
            <v:imagedata r:id="rId80" o:title="base_23639_95978_32805"/>
            <v:formulas/>
            <v:path o:connecttype="segments"/>
          </v:shape>
        </w:pic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  <w:ind w:firstLine="540"/>
        <w:jc w:val="both"/>
      </w:pPr>
      <w:r>
        <w:t xml:space="preserve">где </w:t>
      </w:r>
      <w:r w:rsidRPr="006208FC">
        <w:rPr>
          <w:position w:val="-11"/>
        </w:rPr>
        <w:pict>
          <v:shape id="_x0000_i1063" style="width:19.5pt;height:22.5pt" coordsize="" o:spt="100" adj="0,,0" path="" filled="f" stroked="f">
            <v:stroke joinstyle="miter"/>
            <v:imagedata r:id="rId81" o:title="base_23639_95978_32806"/>
            <v:formulas/>
            <v:path o:connecttype="segments"/>
          </v:shape>
        </w:pict>
      </w:r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 в возрасте до 16 лет (включительно);</w:t>
      </w:r>
    </w:p>
    <w:p w:rsidR="00201AA8" w:rsidRDefault="00201AA8">
      <w:pPr>
        <w:pStyle w:val="ConsPlusNormal"/>
        <w:spacing w:before="220"/>
        <w:ind w:firstLine="540"/>
        <w:jc w:val="both"/>
      </w:pPr>
      <w:r w:rsidRPr="006208FC">
        <w:rPr>
          <w:position w:val="-11"/>
        </w:rPr>
        <w:pict>
          <v:shape id="_x0000_i1064" style="width:25.5pt;height:22.5pt" coordsize="" o:spt="100" adj="0,,0" path="" filled="f" stroked="f">
            <v:stroke joinstyle="miter"/>
            <v:imagedata r:id="rId82" o:title="base_23639_95978_32807"/>
            <v:formulas/>
            <v:path o:connecttype="segments"/>
          </v:shape>
        </w:pict>
      </w:r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 старше трудоспособного возраста;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gramStart"/>
      <w:r>
        <w:rPr>
          <w:vertAlign w:val="subscript"/>
        </w:rPr>
        <w:t>j</w:t>
      </w:r>
      <w:proofErr w:type="spellEnd"/>
      <w:proofErr w:type="gramEnd"/>
      <w:r>
        <w:t xml:space="preserve"> - численность постоянного населения j-</w:t>
      </w:r>
      <w:proofErr w:type="spellStart"/>
      <w:r>
        <w:t>го</w:t>
      </w:r>
      <w:proofErr w:type="spellEnd"/>
      <w:r>
        <w:t xml:space="preserve"> муниципального района (городского округа);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r>
        <w:rPr>
          <w:vertAlign w:val="superscript"/>
        </w:rPr>
        <w:t>д</w:t>
      </w:r>
      <w:proofErr w:type="spellEnd"/>
      <w:r>
        <w:t xml:space="preserve"> - численность постоянного населения Мурманской области в возрасте до 16 лет (включительно);</w:t>
      </w:r>
    </w:p>
    <w:p w:rsidR="00201AA8" w:rsidRDefault="00201AA8">
      <w:pPr>
        <w:pStyle w:val="ConsPlusNormal"/>
        <w:spacing w:before="220"/>
        <w:ind w:firstLine="540"/>
        <w:jc w:val="both"/>
      </w:pPr>
      <w:proofErr w:type="spellStart"/>
      <w:r>
        <w:t>Н</w:t>
      </w:r>
      <w:r>
        <w:rPr>
          <w:vertAlign w:val="superscript"/>
        </w:rPr>
        <w:t>ст</w:t>
      </w:r>
      <w:proofErr w:type="spellEnd"/>
      <w:r>
        <w:t xml:space="preserve"> - численность постоянного населения Мурманской области старше трудоспособного возраста;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Н - численность постоянного населения Мурманской области.</w:t>
      </w:r>
    </w:p>
    <w:p w:rsidR="00201AA8" w:rsidRDefault="00201AA8">
      <w:pPr>
        <w:pStyle w:val="ConsPlusNormal"/>
        <w:spacing w:before="220"/>
        <w:ind w:firstLine="540"/>
        <w:jc w:val="both"/>
      </w:pPr>
      <w:r>
        <w:t>Рассчитанные оценки индекса бюджетных расходов используются только для расчета бюджетной обеспеченности муниципальных районов (городских округов) в целях межбюджетного регулирования и не являются планируемыми или рекомендуемыми показателями, определяющими расходы бюджетов муниципальных районов (городских округов).</w:t>
      </w:r>
    </w:p>
    <w:p w:rsidR="00201AA8" w:rsidRDefault="00201AA8">
      <w:pPr>
        <w:pStyle w:val="ConsPlusNormal"/>
        <w:jc w:val="both"/>
      </w:pPr>
    </w:p>
    <w:p w:rsidR="00201AA8" w:rsidRDefault="00201AA8">
      <w:pPr>
        <w:pStyle w:val="ConsPlusNormal"/>
      </w:pPr>
      <w:hyperlink r:id="rId83" w:history="1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Мурманской области от 10.12.2007 N 916-01-ЗМО (ред. от 06.12.2019, с изм. от 21.04.2020) "О межбюджетных отношениях в Мурманской области" (принят Мурманской областной Думой 29.11.2007) (вместе с "Методикой расчета объема субвенции бюджетам муниципальных районов на осуществление органами местного самоуправления муниципальных районов полномочий органов государственной власти Мурманской области по расчету и предоставлению дотаций на выравнивание бюджетной обеспеченности поселений", "Порядком и методикой</w:t>
        </w:r>
        <w:proofErr w:type="gramEnd"/>
        <w:r>
          <w:rPr>
            <w:i/>
            <w:color w:val="0000FF"/>
          </w:rPr>
          <w:t xml:space="preserve"> </w:t>
        </w:r>
        <w:proofErr w:type="gramStart"/>
        <w:r>
          <w:rPr>
            <w:i/>
            <w:color w:val="0000FF"/>
          </w:rPr>
          <w:t xml:space="preserve">распределения дотаций на выравнивание бюджетной обеспеченности </w:t>
        </w:r>
        <w:r>
          <w:rPr>
            <w:i/>
            <w:color w:val="0000FF"/>
          </w:rPr>
          <w:lastRenderedPageBreak/>
          <w:t>муниципальных районов (городских округов), а также порядком определения критерия выравнивания расчетной бюджетной обеспеченности муниципальных районов (городских округов)", "Порядком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района", "Методикой расчета субсидий из бюджетов поселений, перечисляемых в областной бюджет", "Методикой расчета субсидий из бюджетов муниципальных районов (городских</w:t>
        </w:r>
        <w:proofErr w:type="gramEnd"/>
        <w:r>
          <w:rPr>
            <w:i/>
            <w:color w:val="0000FF"/>
          </w:rPr>
          <w:t xml:space="preserve"> </w:t>
        </w:r>
        <w:proofErr w:type="gramStart"/>
        <w:r>
          <w:rPr>
            <w:i/>
            <w:color w:val="0000FF"/>
          </w:rPr>
          <w:t>округов) в областной бюджет", "Методикой расчета дифференцированных нормативов отчислений в местные бюджеты от акцизов на нефтепродукты")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  <w:proofErr w:type="gramEnd"/>
    </w:p>
    <w:p w:rsidR="006F68BD" w:rsidRDefault="006F68BD"/>
    <w:sectPr w:rsidR="006F68BD" w:rsidSect="00E46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A8"/>
    <w:rsid w:val="00201AA8"/>
    <w:rsid w:val="004B6901"/>
    <w:rsid w:val="006F68BD"/>
    <w:rsid w:val="0070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1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1A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1A951058FD33AB04719852522A40EB4A04B90BF6CDB5B1E5890458905CF205D88179138D010E9872EE5BFE213E0443495962EC43AF72EC2CA5019BAQBM" TargetMode="External"/><Relationship Id="rId18" Type="http://schemas.openxmlformats.org/officeDocument/2006/relationships/hyperlink" Target="consultantplus://offline/ref=91A951058FD33AB04719852522A40EB4A04B90BF62D15A105890458905CF205D88179138D010E9872EE5B6EB13E0443495962EC43AF72EC2CA5019BAQBM" TargetMode="External"/><Relationship Id="rId26" Type="http://schemas.openxmlformats.org/officeDocument/2006/relationships/hyperlink" Target="consultantplus://offline/ref=5EFB415FD0E80675E87BF3EBDBEB0DA3A132E76A48787F118B50008F427F740FE2DE843B2967109E06D057B8BC460332B463D6A9E57ACCC04E299Dq1PFM" TargetMode="External"/><Relationship Id="rId39" Type="http://schemas.openxmlformats.org/officeDocument/2006/relationships/hyperlink" Target="consultantplus://offline/ref=5EFB415FD0E80675E87BF3EBDBEB0DA3A132E76A457A711B8B50008F427F740FE2DE843B2967109E06D159B1BC460332B463D6A9E57ACCC04E299Dq1PFM" TargetMode="External"/><Relationship Id="rId21" Type="http://schemas.openxmlformats.org/officeDocument/2006/relationships/hyperlink" Target="consultantplus://offline/ref=5EFB415FD0E80675E87BF3EBDBEB0DA3A132E76A457A711B8B50008F427F740FE2DE843B2967109E06D156B1BC460332B463D6A9E57ACCC04E299Dq1PFM" TargetMode="External"/><Relationship Id="rId34" Type="http://schemas.openxmlformats.org/officeDocument/2006/relationships/hyperlink" Target="consultantplus://offline/ref=5EFB415FD0E80675E87BF3EBDBEB0DA3A132E76A457A711B8B50008F427F740FE2DE843B2967109E06D159BBBC460332B463D6A9E57ACCC04E299Dq1PFM" TargetMode="External"/><Relationship Id="rId42" Type="http://schemas.openxmlformats.org/officeDocument/2006/relationships/hyperlink" Target="consultantplus://offline/ref=5EFB415FD0E80675E87BF3EBDBEB0DA3A132E76A497D7F1B8E50008F427F740FE2DE843B2967109E06D152B9BC460332B463D6A9E57ACCC04E299Dq1PFM" TargetMode="External"/><Relationship Id="rId47" Type="http://schemas.openxmlformats.org/officeDocument/2006/relationships/image" Target="media/image5.wmf"/><Relationship Id="rId50" Type="http://schemas.openxmlformats.org/officeDocument/2006/relationships/image" Target="media/image8.wmf"/><Relationship Id="rId55" Type="http://schemas.openxmlformats.org/officeDocument/2006/relationships/image" Target="media/image13.wmf"/><Relationship Id="rId63" Type="http://schemas.openxmlformats.org/officeDocument/2006/relationships/image" Target="media/image21.wmf"/><Relationship Id="rId68" Type="http://schemas.openxmlformats.org/officeDocument/2006/relationships/image" Target="media/image26.wmf"/><Relationship Id="rId76" Type="http://schemas.openxmlformats.org/officeDocument/2006/relationships/image" Target="media/image34.wmf"/><Relationship Id="rId84" Type="http://schemas.openxmlformats.org/officeDocument/2006/relationships/fontTable" Target="fontTable.xml"/><Relationship Id="rId7" Type="http://schemas.openxmlformats.org/officeDocument/2006/relationships/hyperlink" Target="consultantplus://offline/ref=91A951058FD33AB04719852522A40EB4A04B90BF69DF5F1C5F90458905CF205D88179138D010E9872EE5B7E313E0443495962EC43AF72EC2CA5019BAQBM" TargetMode="External"/><Relationship Id="rId71" Type="http://schemas.openxmlformats.org/officeDocument/2006/relationships/image" Target="media/image29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A951058FD33AB04719852522A40EB4A04B90BF63D9551A5D90458905CF205D88179138D010E9872EE5B7E313E0443495962EC43AF72EC2CA5019BAQBM" TargetMode="External"/><Relationship Id="rId29" Type="http://schemas.openxmlformats.org/officeDocument/2006/relationships/hyperlink" Target="consultantplus://offline/ref=5EFB415FD0E80675E87BF3EBDBEB0DA3A132E76A48787E1E8050008F427F740FE2DE843B2967109E06D455BBBC460332B463D6A9E57ACCC04E299Dq1PFM" TargetMode="External"/><Relationship Id="rId11" Type="http://schemas.openxmlformats.org/officeDocument/2006/relationships/hyperlink" Target="consultantplus://offline/ref=91A951058FD33AB04719852522A40EB4A04B90BF6FDA5A1C5A90458905CF205D88179138D010E9872EE5B7E313E0443495962EC43AF72EC2CA5019BAQBM" TargetMode="External"/><Relationship Id="rId24" Type="http://schemas.openxmlformats.org/officeDocument/2006/relationships/hyperlink" Target="consultantplus://offline/ref=5EFB415FD0E80675E87BF3EBDBEB0DA3A132E76A48787F118B50008F427F740FE2DE843B2967109E06D056B9BC460332B463D6A9E57ACCC04E299Dq1PFM" TargetMode="External"/><Relationship Id="rId32" Type="http://schemas.openxmlformats.org/officeDocument/2006/relationships/hyperlink" Target="consultantplus://offline/ref=5EFB415FD0E80675E87BF3EBDBEB0DA3A132E76A467D711D8850008F427F740FE2DE843B2967109E06D151B1BC460332B463D6A9E57ACCC04E299Dq1PFM" TargetMode="External"/><Relationship Id="rId37" Type="http://schemas.openxmlformats.org/officeDocument/2006/relationships/hyperlink" Target="consultantplus://offline/ref=5EFB415FD0E80675E87BF3EBDBEB0DA3A132E76A457A711B8B50008F427F740FE2DE843B2967109E06D159BFBC460332B463D6A9E57ACCC04E299Dq1PFM" TargetMode="External"/><Relationship Id="rId40" Type="http://schemas.openxmlformats.org/officeDocument/2006/relationships/hyperlink" Target="consultantplus://offline/ref=5EFB415FD0E80675E87BF3EBDBEB0DA3A132E76A457A711B8B50008F427F740FE2DE843B2967109E06D050B8BC460332B463D6A9E57ACCC04E299Dq1PFM" TargetMode="External"/><Relationship Id="rId45" Type="http://schemas.openxmlformats.org/officeDocument/2006/relationships/image" Target="media/image3.wmf"/><Relationship Id="rId53" Type="http://schemas.openxmlformats.org/officeDocument/2006/relationships/image" Target="media/image11.wmf"/><Relationship Id="rId58" Type="http://schemas.openxmlformats.org/officeDocument/2006/relationships/image" Target="media/image16.wmf"/><Relationship Id="rId66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image" Target="media/image37.wmf"/><Relationship Id="rId5" Type="http://schemas.openxmlformats.org/officeDocument/2006/relationships/hyperlink" Target="consultantplus://offline/ref=91A951058FD33AB04719852522A40EB4A04B90BF6CDB5B1E5B90458905CF205D88179138D010E9872EE7B7EB13E0443495962EC43AF72EC2CA5019BAQBM" TargetMode="External"/><Relationship Id="rId61" Type="http://schemas.openxmlformats.org/officeDocument/2006/relationships/image" Target="media/image19.wmf"/><Relationship Id="rId82" Type="http://schemas.openxmlformats.org/officeDocument/2006/relationships/image" Target="media/image40.wmf"/><Relationship Id="rId19" Type="http://schemas.openxmlformats.org/officeDocument/2006/relationships/hyperlink" Target="consultantplus://offline/ref=5EFB415FD0E80675E87BF3EBDBEB0DA3A132E76A43747E1E8050008F427F740FE2DE843B2967109E06D153B1BC460332B463D6A9E57ACCC04E299Dq1P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A951058FD33AB04719852522A40EB4A04B90BF68DC5C1F5890458905CF205D88179138D010E9872EE5B7E313E0443495962EC43AF72EC2CA5019BAQBM" TargetMode="External"/><Relationship Id="rId14" Type="http://schemas.openxmlformats.org/officeDocument/2006/relationships/hyperlink" Target="consultantplus://offline/ref=91A951058FD33AB04719852522A40EB4A04B90BF6EDE5D1C5F90458905CF205D88179138D010E9872EE5B7E313E0443495962EC43AF72EC2CA5019BAQBM" TargetMode="External"/><Relationship Id="rId22" Type="http://schemas.openxmlformats.org/officeDocument/2006/relationships/hyperlink" Target="consultantplus://offline/ref=5EFB415FD0E80675E87BF3EBDBEB0DA3A132E76A467D711D8850008F427F740FE2DE843B2967109E06D151BEBC460332B463D6A9E57ACCC04E299Dq1PFM" TargetMode="External"/><Relationship Id="rId27" Type="http://schemas.openxmlformats.org/officeDocument/2006/relationships/hyperlink" Target="consultantplus://offline/ref=5EFB415FD0E80675E87BF3EBDBEB0DA3A132E76A457A711B8B50008F427F740FE2DE843B2967109E06D157BABC460332B463D6A9E57ACCC04E299Dq1PFM" TargetMode="External"/><Relationship Id="rId30" Type="http://schemas.openxmlformats.org/officeDocument/2006/relationships/hyperlink" Target="consultantplus://offline/ref=5EFB415FD0E80675E87BF3EBDBEB0DA3A132E76A48787E1E8050008F427F740FE2DE843B2967109E06D055BDBC460332B463D6A9E57ACCC04E299Dq1PFM" TargetMode="External"/><Relationship Id="rId35" Type="http://schemas.openxmlformats.org/officeDocument/2006/relationships/hyperlink" Target="consultantplus://offline/ref=5EFB415FD0E80675E87BF3EBDBEB0DA3A132E76A457A711B8B50008F427F740FE2DE843B2967109E06D159BDBC460332B463D6A9E57ACCC04E299Dq1PFM" TargetMode="External"/><Relationship Id="rId43" Type="http://schemas.openxmlformats.org/officeDocument/2006/relationships/image" Target="media/image1.wmf"/><Relationship Id="rId48" Type="http://schemas.openxmlformats.org/officeDocument/2006/relationships/image" Target="media/image6.wmf"/><Relationship Id="rId56" Type="http://schemas.openxmlformats.org/officeDocument/2006/relationships/image" Target="media/image14.wmf"/><Relationship Id="rId64" Type="http://schemas.openxmlformats.org/officeDocument/2006/relationships/image" Target="media/image22.wmf"/><Relationship Id="rId69" Type="http://schemas.openxmlformats.org/officeDocument/2006/relationships/image" Target="media/image27.wmf"/><Relationship Id="rId77" Type="http://schemas.openxmlformats.org/officeDocument/2006/relationships/image" Target="media/image35.wmf"/><Relationship Id="rId8" Type="http://schemas.openxmlformats.org/officeDocument/2006/relationships/hyperlink" Target="consultantplus://offline/ref=91A951058FD33AB04719852522A40EB4A04B90BF69D0541F5390458905CF205D88179138D010E9872EE5B7E313E0443495962EC43AF72EC2CA5019BAQBM" TargetMode="External"/><Relationship Id="rId51" Type="http://schemas.openxmlformats.org/officeDocument/2006/relationships/image" Target="media/image9.wmf"/><Relationship Id="rId72" Type="http://schemas.openxmlformats.org/officeDocument/2006/relationships/image" Target="media/image30.wmf"/><Relationship Id="rId80" Type="http://schemas.openxmlformats.org/officeDocument/2006/relationships/image" Target="media/image38.wm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1A951058FD33AB04719852522A40EB4A04B90BF6FDE5B1A5890458905CF205D88179138D010E9872EE5B7E313E0443495962EC43AF72EC2CA5019BAQBM" TargetMode="External"/><Relationship Id="rId17" Type="http://schemas.openxmlformats.org/officeDocument/2006/relationships/hyperlink" Target="consultantplus://offline/ref=91A951058FD33AB04719852522A40EB4A04B90BF62DC55105890458905CF205D88179138D010E9872EE5B7E313E0443495962EC43AF72EC2CA5019BAQBM" TargetMode="External"/><Relationship Id="rId25" Type="http://schemas.openxmlformats.org/officeDocument/2006/relationships/hyperlink" Target="consultantplus://offline/ref=5EFB415FD0E80675E87BF3EBDBEB0DA3A132E76A48787F118B50008F427F740FE2DE843B2967109E06D056BCBC460332B463D6A9E57ACCC04E299Dq1PFM" TargetMode="External"/><Relationship Id="rId33" Type="http://schemas.openxmlformats.org/officeDocument/2006/relationships/hyperlink" Target="consultantplus://offline/ref=5EFB415FD0E80675E87BF3EBDBEB0DA3A132E76A497D7F1B8E50008F427F740FE2DE843B2967109E06D151BEBC460332B463D6A9E57ACCC04E299Dq1PFM" TargetMode="External"/><Relationship Id="rId38" Type="http://schemas.openxmlformats.org/officeDocument/2006/relationships/hyperlink" Target="consultantplus://offline/ref=5EFB415FD0E80675E87BF3EBDBEB0DA3A132E76A457A711B8B50008F427F740FE2DE843B2967109E06D159B0BC460332B463D6A9E57ACCC04E299Dq1PFM" TargetMode="External"/><Relationship Id="rId46" Type="http://schemas.openxmlformats.org/officeDocument/2006/relationships/image" Target="media/image4.wmf"/><Relationship Id="rId59" Type="http://schemas.openxmlformats.org/officeDocument/2006/relationships/image" Target="media/image17.wmf"/><Relationship Id="rId67" Type="http://schemas.openxmlformats.org/officeDocument/2006/relationships/image" Target="media/image25.wmf"/><Relationship Id="rId20" Type="http://schemas.openxmlformats.org/officeDocument/2006/relationships/hyperlink" Target="consultantplus://offline/ref=5EFB415FD0E80675E87BF3EBDBEB0DA3A132E76A427473118B50008F427F740FE2DE843B2967109E06D152B9BC460332B463D6A9E57ACCC04E299Dq1PFM" TargetMode="External"/><Relationship Id="rId41" Type="http://schemas.openxmlformats.org/officeDocument/2006/relationships/hyperlink" Target="consultantplus://offline/ref=5EFB415FD0E80675E87BF3EBDBEB0DA3A132E76A497D7F1B8E50008F427F740FE2DE843B2967109E06D151BFBC460332B463D6A9E57ACCC04E299Dq1PFM" TargetMode="External"/><Relationship Id="rId54" Type="http://schemas.openxmlformats.org/officeDocument/2006/relationships/image" Target="media/image12.wmf"/><Relationship Id="rId62" Type="http://schemas.openxmlformats.org/officeDocument/2006/relationships/image" Target="media/image20.wmf"/><Relationship Id="rId70" Type="http://schemas.openxmlformats.org/officeDocument/2006/relationships/image" Target="media/image28.wmf"/><Relationship Id="rId75" Type="http://schemas.openxmlformats.org/officeDocument/2006/relationships/image" Target="media/image33.wmf"/><Relationship Id="rId83" Type="http://schemas.openxmlformats.org/officeDocument/2006/relationships/hyperlink" Target="consultantplus://offline/ref=5EFB415FD0E80675E87BF3EBDBEB0DA3A132E76A48787E1E8050008F427F740FE2DE843B2967109607DA04E9F3475F76E270D7ABE579CDDCq4P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A951058FD33AB04719852522A40EB4A04B90BF69D85A1F5E90458905CF205D88179138D010E9872EE5B7E313E0443495962EC43AF72EC2CA5019BAQBM" TargetMode="External"/><Relationship Id="rId15" Type="http://schemas.openxmlformats.org/officeDocument/2006/relationships/hyperlink" Target="consultantplus://offline/ref=91A951058FD33AB04719852522A40EB4A04B90BF6CD95B1C5B90458905CF205D88179138D010E9872EE5B7E313E0443495962EC43AF72EC2CA5019BAQBM" TargetMode="External"/><Relationship Id="rId23" Type="http://schemas.openxmlformats.org/officeDocument/2006/relationships/hyperlink" Target="consultantplus://offline/ref=5EFB415FD0E80675E87BF3EBDBEB0DA3A132E76A497D7F1B8E50008F427F740FE2DE843B2967109E06D151BDBC460332B463D6A9E57ACCC04E299Dq1PFM" TargetMode="External"/><Relationship Id="rId28" Type="http://schemas.openxmlformats.org/officeDocument/2006/relationships/hyperlink" Target="consultantplus://offline/ref=5EFB415FD0E80675E87BEDE6CD8753A6A53FBC65477D7C4FD40F5BD215767E58A591DD796E6E1095528014EDBA125168E06FC8A8FB79qCPDM" TargetMode="External"/><Relationship Id="rId36" Type="http://schemas.openxmlformats.org/officeDocument/2006/relationships/hyperlink" Target="consultantplus://offline/ref=5EFB415FD0E80675E87BF3EBDBEB0DA3A132E76A457A711B8B50008F427F740FE2DE843B2967109E06D159BEBC460332B463D6A9E57ACCC04E299Dq1PFM" TargetMode="External"/><Relationship Id="rId49" Type="http://schemas.openxmlformats.org/officeDocument/2006/relationships/image" Target="media/image7.wmf"/><Relationship Id="rId57" Type="http://schemas.openxmlformats.org/officeDocument/2006/relationships/image" Target="media/image15.wmf"/><Relationship Id="rId10" Type="http://schemas.openxmlformats.org/officeDocument/2006/relationships/hyperlink" Target="consultantplus://offline/ref=91A951058FD33AB04719852522A40EB4A04B90BF68D059105890458905CF205D88179138D010E9872EE5B7E313E0443495962EC43AF72EC2CA5019BAQBM" TargetMode="External"/><Relationship Id="rId31" Type="http://schemas.openxmlformats.org/officeDocument/2006/relationships/hyperlink" Target="consultantplus://offline/ref=5EFB415FD0E80675E87BF3EBDBEB0DA3A132E76A467D711D8850008F427F740FE2DE843B2967109E06D151BFBC460332B463D6A9E57ACCC04E299Dq1PFM" TargetMode="External"/><Relationship Id="rId44" Type="http://schemas.openxmlformats.org/officeDocument/2006/relationships/image" Target="media/image2.wmf"/><Relationship Id="rId52" Type="http://schemas.openxmlformats.org/officeDocument/2006/relationships/image" Target="media/image10.wmf"/><Relationship Id="rId60" Type="http://schemas.openxmlformats.org/officeDocument/2006/relationships/image" Target="media/image18.wmf"/><Relationship Id="rId65" Type="http://schemas.openxmlformats.org/officeDocument/2006/relationships/image" Target="media/image23.wmf"/><Relationship Id="rId73" Type="http://schemas.openxmlformats.org/officeDocument/2006/relationships/image" Target="media/image31.wmf"/><Relationship Id="rId78" Type="http://schemas.openxmlformats.org/officeDocument/2006/relationships/image" Target="media/image36.wmf"/><Relationship Id="rId81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О.С.</dc:creator>
  <cp:lastModifiedBy>Сысоева О.С.</cp:lastModifiedBy>
  <cp:revision>1</cp:revision>
  <dcterms:created xsi:type="dcterms:W3CDTF">2020-11-03T12:15:00Z</dcterms:created>
  <dcterms:modified xsi:type="dcterms:W3CDTF">2020-11-03T12:17:00Z</dcterms:modified>
</cp:coreProperties>
</file>