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NormalTabl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9"/>
        <w:gridCol w:w="3069"/>
        <w:gridCol w:w="1259"/>
        <w:gridCol w:w="1116"/>
      </w:tblGrid>
      <w:tr w:rsidR="00000000" w:rsidRPr="00DA4519">
        <w:trPr>
          <w:trHeight w:val="270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 xml:space="preserve">Утв. приказом Минфина РФ 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br/>
              <w:t xml:space="preserve">от 28 декабря 2010 г. № 191н 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DA4519">
              <w:rPr>
                <w:rFonts w:ascii="Times New Roman" w:eastAsia="Times New Roman" w:hAnsi="Times New Roman" w:cs="Times New Roman"/>
                <w:i/>
                <w:sz w:val="20"/>
              </w:rPr>
              <w:t>(в ред. от 31 декабря 2015 г.)</w:t>
            </w:r>
          </w:p>
        </w:tc>
      </w:tr>
      <w:tr w:rsidR="00000000" w:rsidRPr="00DA4519">
        <w:trPr>
          <w:trHeight w:val="27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7"/>
              </w:rPr>
              <w:t>ПОЯСНИТЕЛЬНАЯ ЗАПИСКА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255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0"/>
              </w:rPr>
              <w:t>КОДЫ</w:t>
            </w:r>
          </w:p>
        </w:tc>
      </w:tr>
      <w:tr w:rsidR="00000000" w:rsidRPr="00DA4519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Форма по ОКУД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0"/>
              </w:rPr>
              <w:t>0503360</w:t>
            </w:r>
          </w:p>
        </w:tc>
      </w:tr>
      <w:tr w:rsidR="00000000" w:rsidRPr="00DA4519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0"/>
              </w:rPr>
              <w:t xml:space="preserve">                          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t>на   1 января 2021 г.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Дата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01.01.2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t>021</w:t>
            </w:r>
          </w:p>
        </w:tc>
      </w:tr>
      <w:tr w:rsidR="00000000" w:rsidRPr="00DA4519">
        <w:trPr>
          <w:trHeight w:val="300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00000" w:rsidRPr="00DA4519">
        <w:trPr>
          <w:trHeight w:val="19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91233425</w:t>
            </w:r>
          </w:p>
        </w:tc>
      </w:tr>
      <w:tr w:rsidR="00000000" w:rsidRPr="00DA4519">
        <w:trPr>
          <w:trHeight w:val="15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 w:rsidP="00DA451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 xml:space="preserve">Наименование финансового органа Министерство финансов </w:t>
            </w:r>
          </w:p>
          <w:p w:rsidR="00DA4519" w:rsidRPr="00DA4519" w:rsidRDefault="00DA4519" w:rsidP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Мурманской области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000000" w:rsidRPr="00DA4519">
        <w:trPr>
          <w:trHeight w:val="22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Courier New" w:hAnsi="Times New Roman" w:cs="Times New Roman"/>
                <w:b/>
                <w:sz w:val="16"/>
              </w:rPr>
              <w:t>  </w:t>
            </w:r>
          </w:p>
          <w:p w:rsidR="00000000" w:rsidRPr="00DA4519" w:rsidRDefault="00DA4519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Наименование бюджета Консолидированный бюджет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47000000</w:t>
            </w:r>
          </w:p>
        </w:tc>
      </w:tr>
      <w:tr w:rsidR="00000000" w:rsidRPr="00DA4519">
        <w:trPr>
          <w:trHeight w:val="31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 w:rsidP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Периодичность: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t>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00000" w:rsidRPr="00DA4519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Единица измерения: руб.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16"/>
              </w:rPr>
              <w:t xml:space="preserve">  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sz w:val="20"/>
              </w:rPr>
              <w:t>383</w:t>
            </w:r>
          </w:p>
        </w:tc>
      </w:tr>
      <w:tr w:rsidR="00000000" w:rsidRPr="00DA4519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</w:tbl>
    <w:p w:rsidR="00000000" w:rsidRDefault="00DA4519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Консолидиров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анная годовая бюджетная отчетность Мурманской области за 2020 год составлена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денной приказом Министерства финансов Российской Федерации от 28.12.2010 № 191н (далее – Инструкция 191н), с учетом особенностей, предусмотренных совместным письмом Министерства финансов Российской Федерации и Федеральным казначейством от 12.01.2021 № 02-0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6-07/103996, № 07-04-05/02-29166, «О составлении и представлении годовой бюджетной отчетности, 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органами управления государственными внебюджетными фондами за 2020 год», в сроки, установленные  Инструкцией № 191н.</w:t>
      </w:r>
    </w:p>
    <w:p w:rsidR="00DA4519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I. Раздел 1. Организационная структура субъекта бюджетной отчетности.</w:t>
      </w:r>
    </w:p>
    <w:p w:rsidR="00000000" w:rsidRPr="00DA4519" w:rsidRDefault="00DA4519">
      <w:pPr>
        <w:ind w:left="1020" w:hanging="7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1.1.</w:t>
      </w:r>
      <w:r w:rsidRPr="00DA4519">
        <w:rPr>
          <w:rFonts w:ascii="Times New Roman" w:eastAsia="Times New Roman" w:hAnsi="Times New Roman" w:cs="Times New Roman"/>
          <w:b/>
          <w:color w:val="000000"/>
          <w:sz w:val="14"/>
          <w:shd w:val="clear" w:color="auto" w:fill="FFFFFF"/>
        </w:rPr>
        <w:t xml:space="preserve">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Сведения об основных направлениях деятельности.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  <w:shd w:val="clear" w:color="auto" w:fill="FFFFFF"/>
        </w:rPr>
        <w:t>Основными напр</w:t>
      </w: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  <w:shd w:val="clear" w:color="auto" w:fill="FFFFFF"/>
        </w:rPr>
        <w:t>авлениями экономической политики субъекта РФ Мурманской области являются: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развитие производства и предпринимательства с целью увеличения доходов населения, занятости, роста производства товаров и услуг, повышения их качества;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развитие всех форм собстве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нности и обеспечение конкуренции товаропроизводителей;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 xml:space="preserve">-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создание благоприятного инвестиционного климата и стимулирование инвестиций в экономику области, в том числе зарубежных;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развитие приграничного сотрудничества, включая сотрудничество в Баренцевом Е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вро - Арктическом регионе;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защита отечественных товаропроизводителей; обеспечение экономической безопасности в условиях развития международной конкуренции;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протекционизм в развитии предприятий, имеющих областное и общегосударственное значение, обеспече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ние в них государственного влияния;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-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комплексное развитие всех отраслей экономики, повышение конкурентоспособности продукции;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обеспечение комплексной переработки добываемых в области природных ресурсов, внедрение ресурсосберегающих, безотходных и малоот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ходных технологий, освоение наукоемких производств;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-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развитие рыбного хозяйства,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марикультуры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аграрно-промышленного комплекса;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защита исконной среды обитания, традиционных образа жизни, хозяйствования и промыслов коренных народов Севера Российской Фед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ерации;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-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повышение эффективности управления государственной собственностью Мурманской области.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  <w:shd w:val="clear" w:color="auto" w:fill="FFFFFF"/>
        </w:rPr>
        <w:t>Основные задачи субъекта Мурманской области: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 Разработка и реализация единой государственной бюджетно-финансовой политики на территории области, в том числе о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беспечение в пределах своих полномочий прозрачности (открытости) и публичности информации в сфере управления общественными финансами.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Разработка проекта </w:t>
      </w:r>
      <w:proofErr w:type="gramStart"/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областного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бюджета</w:t>
      </w:r>
      <w:proofErr w:type="gramEnd"/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организация его исполнения в установленном порядке, составление отчетов об исп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олнении областного бюджета и консолидированного бюджета Мурманской области.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3. Разработка и реализация программ государственных внутренних заимствований Мурманской области, разработка программ государственных гарантий Мурманской области в установленном по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рядке.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4. Концентрация финансовых ресурсов на приоритетных направлениях социально-экономического развития области и муниципальных образований Мурманской области, целевое финансирование потребностей регионального и межмуниципального уровня.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5. Участие в р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азработке предложений по привлечению в экономику области кредитных ресурсов и источникам их погашения.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6. Совершенствование бюджетного процесса в Мурманской области, методов финансового и бюджетного планирования, финансирования и отчетности на территории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области. </w:t>
      </w:r>
    </w:p>
    <w:p w:rsidR="00000000" w:rsidRPr="00DA4519" w:rsidRDefault="00DA4519">
      <w:pPr>
        <w:ind w:firstLine="1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7. Осуществление в пределах своих полномочий государственного финансового контроля. 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Раздел 2. Результаты деятельности субъекта бюджетной отчетности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Исполнение консолидированного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 бюджета Мурманской области в 2020 году осуществлялось в условиях п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остоянного мониторинга соблюдения условий соглашений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Минфином России о предоставлении бюджету Мурманской области из федерального бюджета бюджетных кредитов и дополнительных соглашений, предусматривающих проведение реструктуризации бюджетной задолженности.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Именно поэтому при исполнении бюджета Мурманской области 2020 года ключевыми ориентирами являлись параметры предельного дефицита и предельного объема долговых обязательств по кредитам от кредитных организаций и государственного долга, которые не должны бы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ли превышать 10, 22 и 39 процентов соответственно от суммы собственных доходов бюджета. Все обязательства в рамках соглашений были выполнены.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Доходы консолидированного бюджета исполнены в сумме 118,5 млрд рублей, что на 0,7 млрд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рублей больше утвержденны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х бюджетных назначений по доходам.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Исполнение бюджета по расходам составило 115,1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 млрд рублей - на 3,8 %, или 4,6 млрд рублей, меньше уточнённых бюджетных назначений.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Бюджет исполнен с профицитом в объеме 3,5 млн. рублей.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Как и прежде в 2019 году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ными источниками доходной части бюджета являются налоговые поступления – 83,9 млрд рублей, или 70,8 % в общем объёме доходов консолидированного бюджета.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Рост налоговых поступлений к 2017 году составил 7,5 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млрд рублей, или 12,1 %.  В большей степени рост б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ыл обеспечен увеличением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 налога на доходы физических лиц, отсюда особенность прошлого года по изменению структуры налогов в сторону увеличения доли налога на доходы физических лиц и соответственно снижения доли налога на прибыль организаций.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Прирост НДФЛ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составил 11,8 % или 3,5 млрд рублей. Рост налога был обусловлен изменением подхода к начислению и выплате МРОТ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в связи с решением Конституционного Суда,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увеличением оплаты труда работников бюджетного сектора экономики, как «указных» категорий работников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так и других бюджетников в связи с проведением индексации оплаты труда. В целом объем поступлений по налогу за год составил 32,8 млрд рублей.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Налог на прибыль организаций в течение 9 месяцев 2020 года демонстрировал снижение и только за счет роста поступ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лений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от предприятий обрабатывающих отраслей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 последнем квартале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по итогам года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удалось выйти на прирост в объеме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1,3 млрд рублей, или 6,4 %. В целом объем поступлений по налогу за год составил 21,6 млрд рублей.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На 27,7 %, то есть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 более чем на 1,7 млрд р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ублей, выросли поступления от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налогов на имущество. В основном рост поступлений обусловлен налогообложением движимого имущества организаций, перечислением крупным плательщиком задолженности по результатам выездной налоговой проверки за предыдущие налоговые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периоды,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в связи с увеличением налогооблагаемой базы (</w:t>
      </w:r>
      <w:r w:rsidRPr="00DA4519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приобретение основных средств, введение в эксплуатацию новых мощностей крупными плательщиками региона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), а также в связи с отменой льгот областным казенным учреждениям. В целом объем поступлений по нал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огу за год составил 7,6 млрд рублей.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Объем безвозмездных поступлений в отчетном году по сравнению с 2017 годом увеличился на 4,4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млрд рублей, или на 21,4 %,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и составил 24,9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млрд рублей.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Рост произошел,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в основном, за счет выделения бюджету Мурманской обла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сти в большем объеме дотаций на поддержку мер по обеспечению сбалансированности бюджетов, была выделена дополнительная финансовая помощь на компенсацию расходов теплоснабжающим организациям Мурманской области, связанных с ростом цен на мазут и уголь, в объ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еме 1,9 млрд. рублей.  Кроме того, выделялись дополнительные дотации на частичную компенсацию дополнительных расходов на повышение оплаты труда работников бюджетной сферы в связи с увеличением МРОТ (718 млн рублей). При этом, на 1,4 млрд рублей сократилась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дотация на выравнивание бюджетной обеспеченности (ввиду отсутствия компенсации в 2018 году централизованного в федеральный бюджет 1% налога на прибыль), не получили мы дотацию за достижение наивысших темпов роста налогового потенциала ввиду изменения мето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дики расчета данного трансферта.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Общий объем межбюджетных трансфертов в 2020 году вырос до 20,2 млрд рублей и увеличился по сравнению с 2017 годом на 2,1 млрд рублей, или на 11,8 %, в основном за счет средств областного бюджета - на 2 млрд рублей 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(на 1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2,4 %), за счет средств федерального бюджета – на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 99 млн рублей (на 5,7 %).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Среди ключевых изменений следует отметить увеличение трансфертов на предоставление: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субвенции на реализацию областных законов «о региональных нормативах образовательной деятель</w:t>
      </w:r>
      <w:r w:rsidRPr="00DA4519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ности»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(1 093,2 млн рублей);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субсидии на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софинансирование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расходов, направляемых на оплату труда и начисления на выплаты по оплате труда работникам муниципальных учреждений (509,0 млн рублей);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lastRenderedPageBreak/>
        <w:t>-</w:t>
      </w:r>
      <w:r w:rsidRPr="00DA4519">
        <w:rPr>
          <w:rFonts w:ascii="Times New Roman" w:eastAsia="Times New Roman" w:hAnsi="Times New Roman" w:cs="Times New Roman"/>
          <w:color w:val="000000"/>
        </w:rPr>
        <w:t xml:space="preserve">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дотаций и субвенций, предоставляемых на выравнивание бюджет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ной обеспеченности из областного бюджета местным бюджетам (399,6 млн рублей);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субсидии на строительство и приобретение жилья для граждан, проживающих в аварийном жилищном фонде (188,0 млн рублей).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В течение года на постоянной основе осуществлялся монито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ринг исполнения местных бюджетов, принимались решения по оказанию помощи в целях повышения сбалансированности местных бюджетов и обеспечения их финансовой устойчивости.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В связи с этим муниципальным образованиям была распределена дополнительная дотация на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сумму 106,5 млн рублей, выдавались бюджетные кредиты.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Причем, объем бюджетных кредитов был увеличен в течение года более чем в 2 раза, с 300 млн рублей до 740 млн рублей, фактически выдано 622,5 млн рублей.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Кроме того, в 2018 году была проведена реструктур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изация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 муниципальных долговых обязательств. Реструктуризация проведена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в виде предоставления рассрочки сроком на 10 лет с ежегодными платежами в размере 10% от суммы задолженности, на сумму 475,7 млн рублей.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Размер государственного долга области на 1 янв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аря 2019 составил 18,8 млрд рублей, за год он сократился более чем на 200 млн рублей или на 1,2%.  В процентном соотношении к объему доходов консолидированного бюджета без учета безвозмездных поступлений он снизился по сравнению с 2017 годом на 4,8 процент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ных пункта, с 30,5 % до 25,7 %.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Правилами реструктуризации на нас возложены дополнительные ограничения по работе с государственным долгом.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В частности, закреплено обязательство по снижению отношения общего объема государственного долга к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сумме доходов бюджета без учета безвозмездных поступлений. Одновременно предусмотрено замещение бюджетных кредитов коммерческими. 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Объем задолженности по бюджетным кредитам после проведенной реструктуризации составил 9,1 млрд рублей, таким образом доля бюд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жетных кредитов в структуре государственного долга составила 48,3 %, при этом увеличился объем коммерческих кредитов до 9,7 млн рублей, доля выросла до 51,7%.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</w:rPr>
        <w:t> </w:t>
      </w:r>
    </w:p>
    <w:p w:rsidR="00000000" w:rsidRPr="00DA4519" w:rsidRDefault="00DA4519">
      <w:pPr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</w:rPr>
        <w:t> </w:t>
      </w:r>
    </w:p>
    <w:p w:rsidR="00000000" w:rsidRPr="00DA4519" w:rsidRDefault="00DA4519">
      <w:pPr>
        <w:ind w:right="20" w:firstLine="700"/>
        <w:jc w:val="center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II. </w:t>
      </w:r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 xml:space="preserve">Пояснения к протоколам по </w:t>
      </w:r>
      <w:proofErr w:type="spellStart"/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>внутридокументным</w:t>
      </w:r>
      <w:proofErr w:type="spellEnd"/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 xml:space="preserve"> и </w:t>
      </w:r>
      <w:proofErr w:type="spellStart"/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>междокумантным</w:t>
      </w:r>
      <w:proofErr w:type="spellEnd"/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 xml:space="preserve"> контрольным соотношениям</w:t>
      </w:r>
      <w:r w:rsidRPr="00DA4519">
        <w:rPr>
          <w:rFonts w:ascii="Times New Roman" w:eastAsia="Times New Roman" w:hAnsi="Times New Roman" w:cs="Times New Roman"/>
          <w:b/>
          <w:color w:val="000000"/>
          <w:sz w:val="32"/>
          <w:shd w:val="clear" w:color="auto" w:fill="FFFFFF"/>
        </w:rPr>
        <w:t xml:space="preserve"> форм годовой отчетности за 2020 год.</w:t>
      </w:r>
    </w:p>
    <w:p w:rsidR="00000000" w:rsidRPr="00DA4519" w:rsidRDefault="00DA4519">
      <w:pPr>
        <w:ind w:right="20"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p w:rsidR="00000000" w:rsidRPr="00DA4519" w:rsidRDefault="00DA4519">
      <w:pPr>
        <w:numPr>
          <w:ilvl w:val="2"/>
          <w:numId w:val="1"/>
        </w:numPr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>Контрольные соотношения взаимосвязанных показателей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Баланса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5" w:history="1">
        <w:r w:rsidRPr="00DA4519">
          <w:rPr>
            <w:rStyle w:val="Hyperlink"/>
            <w:rFonts w:ascii="Times New Roman" w:eastAsia="Times New Roman" w:hAnsi="Times New Roman" w:cs="Times New Roman"/>
            <w:b/>
            <w:color w:val="000000"/>
            <w:sz w:val="28"/>
          </w:rPr>
          <w:t>(ф.0503320)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, Консолидированного отчета о финансовых результатах деятельности </w:t>
      </w:r>
      <w:hyperlink r:id="rId6" w:history="1">
        <w:r w:rsidRPr="00DA4519">
          <w:rPr>
            <w:rStyle w:val="Hyperlink"/>
            <w:rFonts w:ascii="Times New Roman" w:eastAsia="Times New Roman" w:hAnsi="Times New Roman" w:cs="Times New Roman"/>
            <w:b/>
            <w:color w:val="000000"/>
            <w:sz w:val="28"/>
          </w:rPr>
          <w:t>(ф.0503321)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>, Справок по заключению счетов бюджетного учета отчетного финансового года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br/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hyperlink r:id="rId7" w:history="1">
        <w:r w:rsidRPr="00DA4519">
          <w:rPr>
            <w:rStyle w:val="Hyperlink"/>
            <w:rFonts w:ascii="Times New Roman" w:eastAsia="Times New Roman" w:hAnsi="Times New Roman" w:cs="Times New Roman"/>
            <w:b/>
            <w:color w:val="000000"/>
            <w:sz w:val="28"/>
          </w:rPr>
          <w:t>(ф. 0503110)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00000" w:rsidRPr="00DA4519" w:rsidRDefault="00DA4519">
      <w:pPr>
        <w:ind w:left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tbl>
      <w:tblPr>
        <w:tblStyle w:val="NormalTabl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3"/>
        <w:gridCol w:w="6753"/>
      </w:tblGrid>
      <w:tr w:rsidR="00000000" w:rsidRPr="00DA4519"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 отклонений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Пояснение</w:t>
            </w:r>
          </w:p>
        </w:tc>
      </w:tr>
      <w:tr w:rsidR="00000000" w:rsidRPr="00DA4519">
        <w:trPr>
          <w:trHeight w:val="445"/>
        </w:trPr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jc w:val="both"/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Всего: 91 779 044,01</w:t>
            </w:r>
          </w:p>
        </w:tc>
        <w:tc>
          <w:tcPr>
            <w:tcW w:w="67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jc w:val="both"/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Финансовый результат по счетам баланса не соответствует идентичному показателю</w:t>
            </w: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ф.0503321, ф. 0503110 на сумму заключительных оборотов в ф.0503125 по счету 1 304 06 000</w:t>
            </w:r>
          </w:p>
        </w:tc>
      </w:tr>
      <w:tr w:rsidR="00000000" w:rsidRPr="00DA4519">
        <w:trPr>
          <w:trHeight w:val="445"/>
        </w:trPr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jc w:val="both"/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13 665 924,09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113 119,92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DA4519" w:rsidRDefault="00DA4519">
            <w:pPr>
              <w:rPr>
                <w:rFonts w:ascii="Times New Roman" w:hAnsi="Times New Roman" w:cs="Times New Roman"/>
              </w:rPr>
            </w:pPr>
          </w:p>
        </w:tc>
      </w:tr>
    </w:tbl>
    <w:p w:rsidR="00000000" w:rsidRPr="00DA4519" w:rsidRDefault="00DA4519">
      <w:pPr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Контрольные соотношения взаимосвязанных показателей Отчета об исполнении консолидированного бюджета (ф. 0503317)</w:t>
      </w:r>
    </w:p>
    <w:p w:rsidR="00000000" w:rsidRPr="00DA4519" w:rsidRDefault="00DA4519">
      <w:pPr>
        <w:numPr>
          <w:ilvl w:val="1"/>
          <w:numId w:val="4"/>
        </w:numPr>
        <w:ind w:left="0" w:right="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В разделе 3 «Источн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ики финансирования дефицита бюджета» показатель по </w:t>
      </w: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троке КБК 71000001050201020000510 «Увеличение прочих остатков денежных субъекта РФ»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219 418,</w:t>
      </w:r>
      <w:proofErr w:type="gramStart"/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61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 со</w:t>
      </w:r>
      <w:proofErr w:type="gram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знаком (+). Причина – отсутствие доходов от ФОМС Мурманской области.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Субъект РФ произвел возврат неисполь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зованных остатков субсидий, субвенций и иных межбюджетных трансфертов прошлых лет бюджету ФОМС Мурманской области. 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right="20"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2.2. По </w:t>
      </w:r>
      <w:hyperlink r:id="rId8" w:history="1">
        <w:r w:rsidRPr="00DA4519">
          <w:rPr>
            <w:rStyle w:val="Hyperlink"/>
            <w:rFonts w:ascii="Times New Roman" w:eastAsia="Times New Roman" w:hAnsi="Times New Roman" w:cs="Times New Roman"/>
            <w:color w:val="000000"/>
            <w:sz w:val="28"/>
            <w:u w:val="none"/>
          </w:rPr>
          <w:t>строке 500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в графах 4, 5 раздела "Источники финансирования дефицита бюджета" отражается сумма показателей </w:t>
      </w:r>
      <w:hyperlink r:id="rId9" w:history="1">
        <w:r w:rsidRPr="00DA4519">
          <w:rPr>
            <w:rStyle w:val="Hyperlink"/>
            <w:rFonts w:ascii="Times New Roman" w:eastAsia="Times New Roman" w:hAnsi="Times New Roman" w:cs="Times New Roman"/>
            <w:color w:val="000000"/>
            <w:sz w:val="28"/>
            <w:u w:val="none"/>
          </w:rPr>
          <w:t>строк 520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hyperlink r:id="rId10" w:history="1">
        <w:r w:rsidRPr="00DA4519">
          <w:rPr>
            <w:rStyle w:val="Hyperlink"/>
            <w:rFonts w:ascii="Times New Roman" w:eastAsia="Times New Roman" w:hAnsi="Times New Roman" w:cs="Times New Roman"/>
            <w:color w:val="000000"/>
            <w:sz w:val="28"/>
            <w:u w:val="none"/>
          </w:rPr>
          <w:t>620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hyperlink r:id="rId11" w:history="1">
        <w:r w:rsidRPr="00DA4519">
          <w:rPr>
            <w:rStyle w:val="Hyperlink"/>
            <w:rFonts w:ascii="Times New Roman" w:eastAsia="Times New Roman" w:hAnsi="Times New Roman" w:cs="Times New Roman"/>
            <w:color w:val="000000"/>
            <w:sz w:val="28"/>
            <w:u w:val="none"/>
          </w:rPr>
          <w:t>700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граф 4, 5 соответственно.</w:t>
      </w:r>
    </w:p>
    <w:p w:rsidR="00000000" w:rsidRPr="00DA4519" w:rsidRDefault="00DA4519">
      <w:pPr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графе 4 «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Утвержденные бюджетные назначения»</w:t>
      </w:r>
      <w:r w:rsidRPr="00DA4519">
        <w:rPr>
          <w:rFonts w:ascii="Times New Roman" w:eastAsia="Times New Roman" w:hAnsi="Times New Roman" w:cs="Times New Roman"/>
          <w:color w:val="000000"/>
          <w:sz w:val="24"/>
        </w:rPr>
        <w:t xml:space="preserve"> в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разделе 3</w:t>
      </w:r>
      <w:r w:rsidRPr="00DA451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"Источники финансирования дефицита бюджета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" Отчета об исполнении бюджета (ф.0503117) отражены в </w:t>
      </w:r>
      <w:hyperlink r:id="rId12" w:history="1">
        <w:r w:rsidRPr="00DA4519">
          <w:rPr>
            <w:rStyle w:val="Hyperlink"/>
            <w:rFonts w:ascii="Times New Roman" w:eastAsia="Times New Roman" w:hAnsi="Times New Roman" w:cs="Times New Roman"/>
            <w:color w:val="000000"/>
            <w:sz w:val="28"/>
            <w:u w:val="none"/>
          </w:rPr>
          <w:t>разделе 3</w:t>
        </w:r>
      </w:hyperlink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"Источники финансирования дефиц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ита бюджета":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Отклонение: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760 000 000,00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–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не совпадает с суммой детализированных строк: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по строке 01020000000000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700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49 810 986 058,78 отражен показатель - утвержденные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законом (решением)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о бюджете плановые показатели дохода;</w:t>
      </w:r>
    </w:p>
    <w:p w:rsidR="00000000" w:rsidRPr="00DA4519" w:rsidRDefault="00DA4519">
      <w:pPr>
        <w:spacing w:before="240"/>
        <w:ind w:left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по строке 01020000000000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800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(-) 40 387 909 952,26 отражен показатель -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утвержденные сводной бюджетной росписью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расходы бюджета.</w:t>
      </w:r>
    </w:p>
    <w:p w:rsidR="00000000" w:rsidRPr="00DA4519" w:rsidRDefault="00DA4519">
      <w:pPr>
        <w:spacing w:before="240"/>
        <w:ind w:left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Отклонение: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7 426 054,97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- не совпадает с суммой детализированных строк: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по строке 01030100000000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700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5 454 627 000,00 отражен показатель утвержд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енные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законом (решением)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о бюджете плановые показатели дохода;</w:t>
      </w:r>
    </w:p>
    <w:p w:rsidR="00000000" w:rsidRPr="00DA4519" w:rsidRDefault="00DA4519">
      <w:pPr>
        <w:spacing w:before="240"/>
        <w:ind w:left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по строке 01030100000000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800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(-) 6 396 206 800,00 -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утвержденные сводной бюджетной росписью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расходы бюджета.</w:t>
      </w:r>
    </w:p>
    <w:p w:rsidR="00000000" w:rsidRPr="00DA4519" w:rsidRDefault="00DA4519">
      <w:pPr>
        <w:spacing w:before="240"/>
        <w:ind w:left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Отклонение: (-)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32 447 204,97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- не совпадает с суммой детализированных строк: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о строке 01060105000000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600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(-) 37 773 363,90 отражен показатель утвержденные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законом (решением)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о бюджете плановые показатели дохода;</w:t>
      </w:r>
    </w:p>
    <w:p w:rsidR="00000000" w:rsidRPr="00DA4519" w:rsidRDefault="00DA4519">
      <w:pPr>
        <w:spacing w:before="240"/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по строке 01060500000000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500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295 069 219,51 -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утвержденные сводной бюджетной росписью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расходы бюджета.</w:t>
      </w:r>
    </w:p>
    <w:p w:rsidR="00000000" w:rsidRPr="00DA4519" w:rsidRDefault="00DA4519">
      <w:pPr>
        <w:spacing w:before="240"/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Строка 520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в гра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фах 4, 5 раздела "Источники финансирования дефицита бюджета" в соответствии с инструкцией № 191Н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не суммируется.</w:t>
      </w:r>
    </w:p>
    <w:p w:rsidR="00000000" w:rsidRPr="00DA4519" w:rsidRDefault="00DA4519">
      <w:pPr>
        <w:spacing w:before="240"/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ind w:firstLine="560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 xml:space="preserve">2.3.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Ф .0503387M т1 гр5 стр</w:t>
      </w:r>
      <w:proofErr w:type="gramStart"/>
      <w:r w:rsidRPr="00DA4519">
        <w:rPr>
          <w:rFonts w:ascii="Times New Roman" w:eastAsia="Times New Roman" w:hAnsi="Times New Roman" w:cs="Times New Roman"/>
          <w:color w:val="000000"/>
          <w:sz w:val="28"/>
        </w:rPr>
        <w:t>06100 &gt;</w:t>
      </w:r>
      <w:proofErr w:type="gram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= ф0503317M т2 г.6 Фильтр: ВР = 310,320 </w:t>
      </w:r>
    </w:p>
    <w:p w:rsidR="00000000" w:rsidRPr="00DA4519" w:rsidRDefault="00DA4519">
      <w:pPr>
        <w:ind w:firstLine="560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Комментарий: отклонения на сумму расходов по виду </w:t>
      </w:r>
      <w:proofErr w:type="gram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расходов  324</w:t>
      </w:r>
      <w:proofErr w:type="gram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«С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траховые взносы на обязательное медицинское страхование неработающего населения», которые   отражены в ф. 0503387 по строке 06001.</w:t>
      </w:r>
    </w:p>
    <w:p w:rsidR="00000000" w:rsidRPr="00DA4519" w:rsidRDefault="00DA4519">
      <w:pPr>
        <w:ind w:firstLine="560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 xml:space="preserve">2.4.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Письмо Минфина России от 27 мая 2016 г. N 06-02-11/30516 (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Военно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учетные работники относятся к органам местного само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управления, возможно нарушение контрольных соотношений в связи с тем, что расходы на фонд оплаты труда, иные выплаты персоналу и взносы по обязательному социальному страхованию подлежат отражению как в строках 00210, 00220, 00230, так и в строках 00801, 00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802, 00803).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spacing w:before="240"/>
        <w:ind w:firstLine="54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00000" w:rsidRPr="00DA4519" w:rsidRDefault="00DA4519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Контрольные соотношения взаимосвязанных показателей Сведений о движении нефинансовых активов консолидируемого бюджета (ф. 0503368) </w:t>
      </w:r>
    </w:p>
    <w:p w:rsidR="00000000" w:rsidRPr="00DA4519" w:rsidRDefault="00DA4519">
      <w:pPr>
        <w:ind w:left="5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> </w:t>
      </w:r>
    </w:p>
    <w:p w:rsidR="00000000" w:rsidRPr="00DA4519" w:rsidRDefault="00DA4519">
      <w:pPr>
        <w:ind w:left="5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>Раздел 2 значения по строкам .440, 450 - требуются пояснения</w:t>
      </w:r>
    </w:p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tbl>
      <w:tblPr>
        <w:tblStyle w:val="NormalTable"/>
        <w:tblW w:w="100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988"/>
        <w:gridCol w:w="3833"/>
        <w:gridCol w:w="2995"/>
      </w:tblGrid>
      <w:tr w:rsidR="00000000" w:rsidRPr="00DA4519">
        <w:trPr>
          <w:trHeight w:val="5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Строка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left="600" w:hanging="4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Сумма 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56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Графы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56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пояснения</w:t>
            </w:r>
          </w:p>
        </w:tc>
      </w:tr>
      <w:tr w:rsidR="00000000" w:rsidRPr="00DA4519">
        <w:trPr>
          <w:trHeight w:val="51"/>
        </w:trPr>
        <w:tc>
          <w:tcPr>
            <w:tcW w:w="12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450</w:t>
            </w:r>
          </w:p>
          <w:p w:rsidR="00000000" w:rsidRPr="00DA4519" w:rsidRDefault="00DA4519">
            <w:pPr>
              <w:shd w:val="clear" w:color="auto" w:fill="FFFFFF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4 319 369,01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3, 4, 6 «На начало года»</w:t>
            </w:r>
          </w:p>
        </w:tc>
        <w:tc>
          <w:tcPr>
            <w:tcW w:w="2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Операции по приобретению материальных запасов для исполнения уставной деятельности государственных (муниципальных) предприятий (строительные материалы, ограждение, оборудование</w:t>
            </w: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32 045 291,04 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8,10, 13 «Поступ</w:t>
            </w: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ление (увеличение) 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  <w:sz w:val="6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33 106 976,89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15, 17, 20 «Выбытие (уменьшение)»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3 257 683,16 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both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22, 23, 25 «На конец года»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25"/>
        </w:trPr>
        <w:tc>
          <w:tcPr>
            <w:tcW w:w="12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440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19 851 393 450,30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ind w:firstLine="8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3, 4 «На начало года» в </w:t>
            </w:r>
            <w:proofErr w:type="spellStart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т.ч</w:t>
            </w:r>
            <w:proofErr w:type="spellEnd"/>
          </w:p>
        </w:tc>
        <w:tc>
          <w:tcPr>
            <w:tcW w:w="2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Отражены операции по оформлению в собственность земельных участков, </w:t>
            </w: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принятых к бюджетному учету по кадастровой стоимости.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 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Изменение кадастровой стоимости земельных участков.</w:t>
            </w:r>
          </w:p>
        </w:tc>
      </w:tr>
      <w:tr w:rsidR="00000000" w:rsidRPr="00DA4519">
        <w:trPr>
          <w:trHeight w:val="564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3 608 533 458,47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5 «Бюджет субъекта»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44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16 242 859 991,83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6 «Местные бюджеты»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13 719 553 694,53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8,10 «Поступление (увеличение)» в </w:t>
            </w:r>
            <w:proofErr w:type="spellStart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т.ч</w:t>
            </w:r>
            <w:proofErr w:type="spellEnd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: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11 «Сумма консолидации»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36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1 141 975 411,06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12 «Бюджет субъекта»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58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12 577 578 283,47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13 «Местные бюджеты»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3 128 063 079,73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15,17«Выбытие(уменьшение)» в </w:t>
            </w:r>
            <w:proofErr w:type="spellStart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т.ч</w:t>
            </w:r>
            <w:proofErr w:type="spellEnd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.: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18 «Сумма консолидации»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508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1 225 672 485,78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19 «Выбытие бюджет субъекта»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58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1 902 </w:t>
            </w: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390 593,95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20 «Выбытие местные бюджеты»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30 442 884 065,10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22, 23 «На конец года» в </w:t>
            </w:r>
            <w:proofErr w:type="spellStart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т.ч</w:t>
            </w:r>
            <w:proofErr w:type="spellEnd"/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.:</w:t>
            </w:r>
          </w:p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  <w:tr w:rsidR="00000000" w:rsidRPr="00DA4519">
        <w:trPr>
          <w:trHeight w:val="390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3 524 836 383,75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ind w:firstLine="100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24 «Бюджет субъекта»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0000" w:rsidRPr="00DA4519">
        <w:trPr>
          <w:trHeight w:val="51"/>
        </w:trPr>
        <w:tc>
          <w:tcPr>
            <w:tcW w:w="12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Courier New" w:hAnsi="Times New Roman" w:cs="Times New Roman"/>
              </w:rPr>
            </w:pPr>
            <w:r w:rsidRPr="00DA4519"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A4519" w:rsidRDefault="00DA4519">
            <w:pPr>
              <w:shd w:val="clear" w:color="auto" w:fill="FFFFFF"/>
              <w:jc w:val="center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26 918 047 681,35</w:t>
            </w:r>
          </w:p>
        </w:tc>
        <w:tc>
          <w:tcPr>
            <w:tcW w:w="3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DA4519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«Местные бюджеты»</w:t>
            </w:r>
          </w:p>
        </w:tc>
        <w:tc>
          <w:tcPr>
            <w:tcW w:w="2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A4519" w:rsidRDefault="00DA4519">
            <w:pPr>
              <w:shd w:val="clear" w:color="auto" w:fill="FFFFFF"/>
              <w:rPr>
                <w:rFonts w:ascii="Times New Roman" w:hAnsi="Times New Roman" w:cs="Times New Roman"/>
                <w:sz w:val="6"/>
              </w:rPr>
            </w:pPr>
          </w:p>
        </w:tc>
      </w:tr>
    </w:tbl>
    <w:p w:rsidR="00000000" w:rsidRPr="00DA4519" w:rsidRDefault="00DA4519">
      <w:pPr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4"/>
        </w:rPr>
        <w:t> </w:t>
      </w:r>
    </w:p>
    <w:p w:rsidR="00000000" w:rsidRPr="00DA4519" w:rsidRDefault="00DA4519">
      <w:pPr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Контрольные соотношения взаимосвязанных показателей Сведений по дебиторской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и кредиторской задолженности (ф. 0503369)</w:t>
      </w:r>
    </w:p>
    <w:p w:rsidR="00000000" w:rsidRPr="00DA4519" w:rsidRDefault="00DA4519">
      <w:pPr>
        <w:spacing w:line="276" w:lineRule="auto"/>
        <w:ind w:left="5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spacing w:line="276" w:lineRule="auto"/>
        <w:ind w:firstLine="56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Остаток по счету 1 205 51 000 2Расчеты по безвозмездным поступлениям текущего характера от других бюджетов бюджетной системы Российской Федерации» на сумму 25 071 523,54 рублей по дебиторской задолженности на ко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нец предыдущего периода изменился на корректировку в связи с исправлением ошибок прошлых лет по начислению доходов будущих периодов со счетом 1 401 40 151 «Доходы будущих периодов» (ошибочно начислены межбюджетные трансферты, переданных из ФБ по Соглашению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– субсидии на государственную поддержку малого и среднего предпринимательства). </w:t>
      </w:r>
    </w:p>
    <w:p w:rsidR="00000000" w:rsidRPr="00DA4519" w:rsidRDefault="00DA4519">
      <w:pPr>
        <w:spacing w:line="276" w:lineRule="auto"/>
        <w:ind w:left="5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</w:p>
    <w:p w:rsidR="00000000" w:rsidRPr="00DA4519" w:rsidRDefault="00DA4519">
      <w:pPr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Контрольные соотношения взаимосвязанных показателей </w:t>
      </w:r>
      <w:proofErr w:type="spellStart"/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Сведнений</w:t>
      </w:r>
      <w:proofErr w:type="spellEnd"/>
      <w:r w:rsidRPr="00DA4519">
        <w:rPr>
          <w:rFonts w:ascii="Times New Roman" w:eastAsia="Times New Roman" w:hAnsi="Times New Roman" w:cs="Times New Roman"/>
          <w:b/>
          <w:i/>
          <w:color w:val="000000"/>
          <w:sz w:val="28"/>
          <w:u w:val="single"/>
          <w:shd w:val="clear" w:color="auto" w:fill="FFFFFF"/>
        </w:rPr>
        <w:t xml:space="preserve"> </w:t>
      </w:r>
      <w:r w:rsidRPr="00DA4519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вложениях в объекты недвижимого имущества, объектах незавершенного строительства </w:t>
      </w:r>
      <w:hyperlink r:id="rId13" w:history="1">
        <w:r w:rsidRPr="00DA4519">
          <w:rPr>
            <w:rStyle w:val="Hyperlink"/>
            <w:rFonts w:ascii="Times New Roman" w:eastAsia="Times New Roman" w:hAnsi="Times New Roman" w:cs="Times New Roman"/>
            <w:b/>
            <w:color w:val="000000"/>
            <w:sz w:val="28"/>
            <w:shd w:val="clear" w:color="auto" w:fill="FFFFFF"/>
          </w:rPr>
          <w:t>(ф. 0503190)</w:t>
        </w:r>
      </w:hyperlink>
    </w:p>
    <w:p w:rsidR="00000000" w:rsidRPr="00DA4519" w:rsidRDefault="00DA4519">
      <w:pPr>
        <w:spacing w:line="276" w:lineRule="auto"/>
        <w:ind w:left="280"/>
        <w:jc w:val="center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i/>
          <w:color w:val="000000"/>
          <w:sz w:val="28"/>
          <w:u w:val="single"/>
        </w:rPr>
        <w:t xml:space="preserve">Протокол </w:t>
      </w:r>
      <w:proofErr w:type="spellStart"/>
      <w:r w:rsidRPr="00DA4519">
        <w:rPr>
          <w:rFonts w:ascii="Times New Roman" w:eastAsia="Times New Roman" w:hAnsi="Times New Roman" w:cs="Times New Roman"/>
          <w:i/>
          <w:color w:val="000000"/>
          <w:sz w:val="28"/>
          <w:u w:val="single"/>
        </w:rPr>
        <w:t>внутридокументального</w:t>
      </w:r>
      <w:proofErr w:type="spellEnd"/>
      <w:r w:rsidRPr="00DA4519">
        <w:rPr>
          <w:rFonts w:ascii="Times New Roman" w:eastAsia="Times New Roman" w:hAnsi="Times New Roman" w:cs="Times New Roman"/>
          <w:i/>
          <w:color w:val="000000"/>
          <w:sz w:val="28"/>
          <w:u w:val="single"/>
        </w:rPr>
        <w:t xml:space="preserve"> контроля</w:t>
      </w:r>
    </w:p>
    <w:p w:rsidR="00000000" w:rsidRPr="00DA4519" w:rsidRDefault="00DA4519">
      <w:pPr>
        <w:spacing w:line="276" w:lineRule="auto"/>
        <w:ind w:left="280"/>
        <w:jc w:val="center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> </w:t>
      </w:r>
    </w:p>
    <w:p w:rsidR="00000000" w:rsidRPr="00DA4519" w:rsidRDefault="00DA4519">
      <w:pPr>
        <w:spacing w:line="276" w:lineRule="auto"/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 xml:space="preserve">Графа 20 не равна сумме граф 17+18-19 - допустимо в случае перехода объекта незавершенного строительства </w:t>
      </w:r>
      <w:r w:rsidRPr="00DA4519">
        <w:rPr>
          <w:rFonts w:ascii="Times New Roman" w:eastAsia="Times New Roman" w:hAnsi="Times New Roman" w:cs="Times New Roman"/>
          <w:i/>
          <w:color w:val="000000"/>
          <w:sz w:val="28"/>
        </w:rPr>
        <w:t>из одного раздела в другой в течение отчетного периода. </w:t>
      </w:r>
    </w:p>
    <w:p w:rsidR="00000000" w:rsidRPr="00DA4519" w:rsidRDefault="00DA4519">
      <w:pPr>
        <w:spacing w:line="276" w:lineRule="auto"/>
        <w:ind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В течение отчетного 2020 года произошел переход из одного раздела в другой следующих объектов незавершенного строительства: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ИНН 5102050962, объекты инженерной инфраструктуры (сети водоснабжения и в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одоотведения, улично-дорожная сеть), Мурманская область,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г.Кандалакша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ул.Кандалакшское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шоссе;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ИНН 5102050962, детский сад на 75 мест, Мурманская область,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с.п.Алакуртти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ул.Набережная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ИНН 5190112968, пожарное депо на 4 автомобиля в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п.г.т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. Умба, 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Мурм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анская область, Терский район,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п.г.т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>. Умба, ул. Кирова;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ИНН 5190112968, амбулатория в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п.г.т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. Сафоново, Мурманская обл., </w:t>
      </w:r>
      <w:proofErr w:type="gram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МО</w:t>
      </w:r>
      <w:proofErr w:type="gram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ЗАТО г. Североморск,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пгт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>. Сафоново, ул. Папанина, д. 69;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>- ИНН 5116020580, реконструкция пешеходного моста в г. Полярный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ул.Моисее</w:t>
      </w:r>
      <w:r w:rsidRPr="00DA4519">
        <w:rPr>
          <w:rFonts w:ascii="Times New Roman" w:eastAsia="Times New Roman" w:hAnsi="Times New Roman" w:cs="Times New Roman"/>
          <w:color w:val="000000"/>
          <w:sz w:val="28"/>
        </w:rPr>
        <w:t>ва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ул.Душенова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000000" w:rsidRPr="00DA4519" w:rsidRDefault="00DA4519">
      <w:pPr>
        <w:ind w:firstLine="42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- ИНН 5190112968, фельдшерско-акушерский пункт в с. Краснощелье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Ловозерского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района, Мурманская область, муниципальное образование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с.п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. Ловозеро </w:t>
      </w:r>
      <w:proofErr w:type="spellStart"/>
      <w:r w:rsidRPr="00DA4519">
        <w:rPr>
          <w:rFonts w:ascii="Times New Roman" w:eastAsia="Times New Roman" w:hAnsi="Times New Roman" w:cs="Times New Roman"/>
          <w:color w:val="000000"/>
          <w:sz w:val="28"/>
        </w:rPr>
        <w:t>Ловозерского</w:t>
      </w:r>
      <w:proofErr w:type="spellEnd"/>
      <w:r w:rsidRPr="00DA4519">
        <w:rPr>
          <w:rFonts w:ascii="Times New Roman" w:eastAsia="Times New Roman" w:hAnsi="Times New Roman" w:cs="Times New Roman"/>
          <w:color w:val="000000"/>
          <w:sz w:val="28"/>
        </w:rPr>
        <w:t xml:space="preserve"> района, с. Краснощелье, ул. Набережная.</w:t>
      </w:r>
    </w:p>
    <w:p w:rsidR="00000000" w:rsidRPr="00DA4519" w:rsidRDefault="00DA4519">
      <w:pPr>
        <w:ind w:right="20" w:firstLine="700"/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b/>
          <w:color w:val="000000"/>
          <w:sz w:val="32"/>
        </w:rPr>
        <w:t> </w:t>
      </w:r>
    </w:p>
    <w:p w:rsidR="00000000" w:rsidRPr="00DA4519" w:rsidRDefault="00DA4519">
      <w:pPr>
        <w:jc w:val="both"/>
        <w:rPr>
          <w:rFonts w:ascii="Times New Roman" w:eastAsia="Courier New" w:hAnsi="Times New Roman" w:cs="Times New Roman"/>
        </w:rPr>
      </w:pPr>
      <w:r w:rsidRPr="00DA4519"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NormalTable"/>
        <w:tblW w:w="0" w:type="auto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053"/>
        <w:gridCol w:w="2267"/>
      </w:tblGrid>
      <w:tr w:rsidR="00000000" w:rsidRPr="00DA4519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М.А.Селезнев</w:t>
            </w:r>
            <w:proofErr w:type="spellEnd"/>
          </w:p>
        </w:tc>
      </w:tr>
      <w:tr w:rsidR="00000000" w:rsidRPr="00DA4519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(подпис</w:t>
            </w:r>
            <w:r w:rsidRPr="00DA4519">
              <w:rPr>
                <w:rFonts w:ascii="Times New Roman" w:eastAsia="Times New Roman" w:hAnsi="Times New Roman" w:cs="Times New Roman"/>
                <w:sz w:val="20"/>
              </w:rPr>
              <w:t>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000000" w:rsidRPr="00DA4519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планово-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hAnsi="Times New Roman" w:cs="Times New Roman"/>
                <w:sz w:val="28"/>
                <w:szCs w:val="28"/>
              </w:rPr>
              <w:t xml:space="preserve">  Шеметова Н. Г</w:t>
            </w:r>
          </w:p>
        </w:tc>
      </w:tr>
      <w:tr w:rsidR="00000000" w:rsidRPr="00DA4519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экономической службы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000000" w:rsidRPr="00DA4519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000000" w:rsidRPr="00DA4519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5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Шеметова Н. Г. </w:t>
            </w:r>
          </w:p>
        </w:tc>
      </w:tr>
      <w:tr w:rsidR="00000000" w:rsidRPr="00DA4519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(расшифровка подпис</w:t>
            </w:r>
            <w:bookmarkStart w:id="0" w:name="_GoBack"/>
            <w:bookmarkEnd w:id="0"/>
            <w:r w:rsidRPr="00DA4519">
              <w:rPr>
                <w:rFonts w:ascii="Times New Roman" w:eastAsia="Times New Roman" w:hAnsi="Times New Roman" w:cs="Times New Roman"/>
                <w:sz w:val="20"/>
              </w:rPr>
              <w:t>и)</w:t>
            </w:r>
          </w:p>
        </w:tc>
      </w:tr>
      <w:tr w:rsidR="00000000" w:rsidRPr="00DA4519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DA4519" w:rsidRDefault="00DA451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A4519">
              <w:rPr>
                <w:rFonts w:ascii="Times New Roman" w:eastAsia="Times New Roman" w:hAnsi="Times New Roman" w:cs="Times New Roman"/>
                <w:sz w:val="20"/>
              </w:rPr>
              <w:t>"____"   ____________ 20____г.</w:t>
            </w:r>
          </w:p>
        </w:tc>
      </w:tr>
    </w:tbl>
    <w:p w:rsidR="00000000" w:rsidRDefault="00DA4519">
      <w:r>
        <w:rPr>
          <w:rFonts w:ascii="Times New Roman" w:eastAsia="Times New Roman" w:hAnsi="Times New Roman"/>
          <w:sz w:val="24"/>
        </w:rPr>
        <w:t xml:space="preserve">        </w:t>
      </w:r>
    </w:p>
    <w:sectPr w:rsidR="00000000">
      <w:pgSz w:w="15840" w:h="12240" w:orient="landscape"/>
      <w:pgMar w:top="1133" w:right="850" w:bottom="1133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D287C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545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E09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4A8A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80EF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D22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02B1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E24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A6B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642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43359"/>
    <w:multiLevelType w:val="multilevel"/>
    <w:tmpl w:val="00E71F3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1B0FB7B6"/>
    <w:multiLevelType w:val="multilevel"/>
    <w:tmpl w:val="002018C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2D7206C1"/>
    <w:multiLevelType w:val="multilevel"/>
    <w:tmpl w:val="0120DEF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2DE60B87"/>
    <w:multiLevelType w:val="multilevel"/>
    <w:tmpl w:val="0227D6B9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9A082FD"/>
    <w:multiLevelType w:val="multilevel"/>
    <w:tmpl w:val="03668C8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71B4BE7C"/>
    <w:multiLevelType w:val="multilevel"/>
    <w:tmpl w:val="029AF094"/>
    <w:lvl w:ilvl="0">
      <w:start w:val="7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72AEFAAB"/>
    <w:multiLevelType w:val="multilevel"/>
    <w:tmpl w:val="03727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7D5CBFA5"/>
    <w:multiLevelType w:val="multilevel"/>
    <w:tmpl w:val="03061F00"/>
    <w:lvl w:ilvl="0">
      <w:start w:val="7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11"/>
  </w:num>
  <w:num w:numId="5">
    <w:abstractNumId w:val="14"/>
  </w:num>
  <w:num w:numId="6">
    <w:abstractNumId w:val="17"/>
  </w:num>
  <w:num w:numId="7">
    <w:abstractNumId w:val="13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19"/>
    <w:rsid w:val="00DA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ED026462-D69D-486A-8D92-F614A1C8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il"/>
        <w:left w:val="nil"/>
        <w:bottom w:val="nil"/>
        <w:right w:val="nil"/>
      </w:pBdr>
    </w:pPr>
    <w:rPr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  <w:basedOn w:val="a0"/>
    <w:rPr>
      <w:sz w:val="22"/>
    </w:rPr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695119DEC012FE117EFF484F3E3025D964ACD25D3D7699924A2A5795C4990C75C8170DADF20ABEF99EE0E780C0DE76030F6470EFFA4E1o3K0L" TargetMode="External"/><Relationship Id="rId13" Type="http://schemas.openxmlformats.org/officeDocument/2006/relationships/hyperlink" Target="consultantplus://offline/ref=D7E2B9A9F1138D3A420AC000B0FED4AE9E97AAE587A2D54E6B232344BCB1DFAEC892B90B1ADAFCt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5DE8A2097C092BBF119164ED6332AB8EDECC30D456DFD91A34AC0A3E366B344B71A9B70B2AD82435D45EA3E4A851533A428141F9ADD046oAW3O" TargetMode="External"/><Relationship Id="rId12" Type="http://schemas.openxmlformats.org/officeDocument/2006/relationships/hyperlink" Target="consultantplus://offline/ref=205BAE9DAC9BE8F7963639782D20CA7B3D10F074034145D01D3D3BCDB81949F5322C8D2D496AF2958135E61316AC9C593F0C63D477C7320145F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B70F4A297CDB716C9D486DADE54556F0D840441E4B98A028837B60814A38A57864AA2FEA1D0BF3DB764938559F65D38AFA94488F43CCFFBR0IBO" TargetMode="External"/><Relationship Id="rId11" Type="http://schemas.openxmlformats.org/officeDocument/2006/relationships/hyperlink" Target="consultantplus://offline/ref=FE2695119DEC012FE117EFF484F3E3025D964ACD25D3D7699924A2A5795C4990C75C8170DADF20ABEA99EE0E780C0DE76030F6470EFFA4E1o3K0L" TargetMode="External"/><Relationship Id="rId5" Type="http://schemas.openxmlformats.org/officeDocument/2006/relationships/hyperlink" Target="consultantplus://offline/ref=DF84485BA4F176D57E7ED84ABC96CBC2807500A777BB979BA7683EA961707D72F121FBCD7AEC984CF5E27BC78C69671BB785F26D0D69DD0Ad2F2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E2695119DEC012FE117EFF484F3E3025D964ACD25D3D7699924A2A5795C4990C75C8170DADF20ABE899EE0E780C0DE76030F6470EFFA4E1o3K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2695119DEC012FE117EFF484F3E3025D964ACD25D3D7699924A2A5795C4990C75C8170DADF20ABEE99EE0E780C0DE76030F6470EFFA4E1o3K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2910</Words>
  <Characters>16590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Дермелева О.В.</dc:creator>
  <cp:keywords/>
  <cp:lastModifiedBy>Дермелева О.В.</cp:lastModifiedBy>
  <cp:revision>2</cp:revision>
  <dcterms:created xsi:type="dcterms:W3CDTF">2021-05-25T14:22:00Z</dcterms:created>
  <dcterms:modified xsi:type="dcterms:W3CDTF">2021-05-25T14:22:00Z</dcterms:modified>
</cp:coreProperties>
</file>