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0"/>
      </w:tblGrid>
      <w:tr w:rsidR="00631FB4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31FB4" w:rsidRDefault="00861D3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631FB4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</w:tr>
      <w:tr w:rsidR="00631FB4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31FB4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631FB4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631FB4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</w:tr>
      <w:tr w:rsidR="00631FB4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</w:tr>
      <w:tr w:rsidR="00631FB4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91233425</w:t>
            </w:r>
          </w:p>
        </w:tc>
      </w:tr>
      <w:tr w:rsidR="00631FB4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</w:tr>
      <w:tr w:rsidR="00631FB4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0"/>
              </w:rPr>
            </w:pPr>
          </w:p>
        </w:tc>
      </w:tr>
      <w:tr w:rsidR="00631FB4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Министерство финансов Мурманской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 </w:t>
            </w:r>
          </w:p>
          <w:p w:rsidR="00631FB4" w:rsidRDefault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 w:rsidP="00861D39">
            <w:pPr>
              <w:jc w:val="center"/>
            </w:pPr>
            <w:r>
              <w:t>808</w:t>
            </w:r>
          </w:p>
        </w:tc>
      </w:tr>
      <w:tr w:rsidR="00631FB4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</w:tr>
      <w:tr w:rsidR="00631FB4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 w:rsidP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субъекта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631FB4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 w:rsidP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</w:tr>
      <w:tr w:rsidR="00631FB4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31FB4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</w:tr>
      <w:tr w:rsidR="00631FB4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631FB4">
            <w:pPr>
              <w:rPr>
                <w:sz w:val="24"/>
              </w:rPr>
            </w:pPr>
          </w:p>
        </w:tc>
      </w:tr>
    </w:tbl>
    <w:p w:rsidR="00631FB4" w:rsidRDefault="00631FB4">
      <w:pPr>
        <w:rPr>
          <w:vanish/>
        </w:rPr>
      </w:pPr>
    </w:p>
    <w:tbl>
      <w:tblPr>
        <w:tblW w:w="14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7"/>
        <w:gridCol w:w="266"/>
        <w:gridCol w:w="1500"/>
        <w:gridCol w:w="2461"/>
      </w:tblGrid>
      <w:tr w:rsidR="00631FB4">
        <w:trPr>
          <w:trHeight w:val="282"/>
        </w:trPr>
        <w:tc>
          <w:tcPr>
            <w:tcW w:w="103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ind w:firstLine="5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2023 году исполнение бюджета Мурманской области осуществлялось </w:t>
            </w:r>
          </w:p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соответствии с законом Мурманской области от 13.12.2022 № 2845-01-ЗМО «Об областном бюджете на 2023 год и на плановый период 2024 и 2025 годов» (в ред. Законов Мурманской области от 18.09.2023 № 2915-01-ЗМО, от 30.11.2023 № 2936-01-ЗМО).</w:t>
            </w:r>
          </w:p>
          <w:p w:rsidR="00631FB4" w:rsidRDefault="00861D39">
            <w:pPr>
              <w:ind w:firstLine="5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1. Органи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зационная структура субъекта бюджетной отчетности.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631FB4">
        <w:trPr>
          <w:trHeight w:val="282"/>
        </w:trPr>
        <w:tc>
          <w:tcPr>
            <w:tcW w:w="145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Консолидированная годовая бюджетная отчетность областного бюджета Мурманской области  по состоянию на 1 января 2024 года составлена в соответствии с требованиями Инструкции о порядке составления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(далее – Инструкция 191н), с учетом особенностей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составлении и представлении отчетности совместных писем Министерства финансов Российской Федерации и Федерального казначейства от 11.01.2024 № 02-06-06/1031 и № 07-04-05/02-255, от 11.01.2024 № 02-06-06/950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07-04-05/02-253.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финансов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Мурманской области (далее – Министерство) является исполнительным органом Мурманской области, осуществляющим функции по формированию и реализации государственной политики Мурманской области, а также нормативно-правовому регулированию в бюджетно-финансовой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сфере, функции внутреннего государственного финансового контроля,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функции финансового органа Мурманской области в соответствии с законодательством Российской Федерации.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осуществляет свою деятельность во взаимодействии с федеральными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 исполнительной власти, органами государственной власти Мурманской области, органами местного самоуправления, общественными объединениями и иными организациями.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Бюджетная отчетность Мурманской области в соответствии с пунктом 2 статьи 41 главы 5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 Мурманской области от 11.12.2007 № 919-01-ЗМО «О бюджетном процессе в Мурманской области» составляется финансовым органом Мурманской области (Министерством) на основании бюджетной отчетности главных администраторов средств областного бюджета, прочие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министраторы доходов областного бюджета мурманской области.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является юридическим лицом, имеет гербовую печать, иные печати, штампы и бланки установленного образца и счета, открываемые в соответствии с законодательством Российской Федерации.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 нахождения Министерства: 183032, г. Мурманск, пр. Кольский, д. 1.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Реквизиты: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ОКПО 27942931 ОКОПФ 75204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ОГРН 1025100863160 ОКТМО 47000000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ИНН 5191501950 / КПП 519001001 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ОКВЭД 84.11.21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ТОГС 51                </w:t>
      </w:r>
    </w:p>
    <w:p w:rsidR="00631FB4" w:rsidRDefault="00861D39" w:rsidP="00861D39">
      <w:pPr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03100643000000014900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плательщика (получателя): ОТДЕЛЕНИЕ МУРМАНСК//УФК по Мурманской области, г Мурманск 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казначейский счет № 40102810745370000041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БИК 014705901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Получатель: УФК по Мурманской области, (Министерство финансов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Казначейский счет, л/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01492001070)</w:t>
      </w:r>
    </w:p>
    <w:p w:rsidR="00631FB4" w:rsidRDefault="00861D39" w:rsidP="00861D39">
      <w:pPr>
        <w:numPr>
          <w:ilvl w:val="0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 счет № 03221643470000004900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Банк плательщика (получателя): ОТДЕЛЕНИЕ МУРМАНСК//УФК по Мурманской области, г. Мурманск 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Единый казначейский счет № 40102810745370000041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БИК 014705901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Плательщик (получатель): Министерство финансов Мурманской области,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(Министерство финансов Мурманской области, л/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03492001070)</w:t>
      </w:r>
    </w:p>
    <w:p w:rsidR="00631FB4" w:rsidRDefault="00861D39" w:rsidP="00861D39">
      <w:pPr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03221643470000004900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Банк плательщика (получателя): ОТДЕЛЕНИЕ МУРМАНСК//УФК по Мурманской области, г. Мурманск 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Единый казначейский счет № 40102810745370000041</w:t>
      </w:r>
    </w:p>
    <w:p w:rsidR="00631FB4" w:rsidRDefault="00861D39" w:rsidP="00861D39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БИК 014705901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Плательщик (получатель): Министерство финансов Мурманской области, (Министерство финансов Мурманской области, л/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08492001070)</w:t>
      </w:r>
    </w:p>
    <w:p w:rsidR="00631FB4" w:rsidRDefault="00861D39" w:rsidP="00861D39">
      <w:pPr>
        <w:numPr>
          <w:ilvl w:val="0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Казначейский счет № 03222643470000004900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Банк плательщика (получателя): ОТДЕЛЕНИЕ МУРМАНСК//УФК по Мурманской области, г. Мурман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ск 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Единый казначейский счет № 40102810745370000041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БИК 014705901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Плательщик (получатель): Министерство финансов Мурманской области, (Министерство финансов Мурманской области, л/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05492001070)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Годовая бюджетная отчетность об исполнении бюджета Мурманской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 составлена на основании показателей представленных в Министерство главными распорядителями средств областного бюджета, главными администраторами доходов областного бюджета, главными администраторами источников финансирования дефицита областного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жета, федеральных органов исполнительной власти, их подведомственных территориальных управлений, осуществляющих полномочия главных администраторов доходов бюджетов в отношении доходов, содержащих код элемента бюджета «02» путем суммирования одноименных пок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азателей по строкам и исключения взаимосвязанных показателей по идентичным счетам бюджетного учета.</w:t>
      </w:r>
    </w:p>
    <w:p w:rsidR="00631FB4" w:rsidRDefault="00861D39" w:rsidP="00861D39">
      <w:pPr>
        <w:numPr>
          <w:ilvl w:val="1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1 января 2024 года в субъекте Мурманской области в состав участников бюджетного процесса (органы власти и их территориальные органы) входят: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Главные расп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орядители бюджетных средст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– в количестве 32,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исполнительные органы государственной власти Мурманской области: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Министерства: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Аппарат Правительства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внутренней политики Мурманской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государственного жилищного и строительного надзора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градостроительства и благоустройства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здравоохранения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имущественных отношений Мурманской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информационной политики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культуры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и науки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природных ресурсов, экологии и рыбного хозяйства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Арктики и экономики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региональной безопасности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спорта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Министерство строительства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транспорта и дорожного хозяйства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 труда и социального развития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финансов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цифрового развития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энергетики и жилищно-коммунального хозяйства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юстиции Мурманской 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Комитеты: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государственного и финансового контроля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молодежной политики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ветеринарии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конкурентной политике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тарифному регулировани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Мурманской области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по туризму Мурманской области Управления:</w:t>
      </w:r>
    </w:p>
    <w:p w:rsidR="00631FB4" w:rsidRDefault="00861D39">
      <w:pPr>
        <w:ind w:firstLine="560"/>
        <w:rPr>
          <w:color w:val="000000"/>
        </w:rPr>
      </w:pPr>
      <w:hyperlink r:id="rId5" w:tgtFrame="_blank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Управление по реализации антикоррупционной политики Мурманской области</w:t>
        </w:r>
      </w:hyperlink>
    </w:p>
    <w:p w:rsidR="00631FB4" w:rsidRDefault="00861D39">
      <w:pPr>
        <w:ind w:left="440" w:firstLine="1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Законодательный (представительный) орган:</w:t>
      </w:r>
    </w:p>
    <w:p w:rsidR="00631FB4" w:rsidRDefault="00861D39">
      <w:pPr>
        <w:ind w:left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областная Дума.</w:t>
      </w:r>
    </w:p>
    <w:p w:rsidR="00631FB4" w:rsidRDefault="00861D39">
      <w:pPr>
        <w:ind w:left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Орган финансового контроля:</w:t>
      </w:r>
    </w:p>
    <w:p w:rsidR="00631FB4" w:rsidRDefault="00861D39">
      <w:pPr>
        <w:ind w:left="560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Счетная палата Мурманской области.</w:t>
      </w:r>
    </w:p>
    <w:p w:rsidR="00631FB4" w:rsidRDefault="00861D39">
      <w:pPr>
        <w:ind w:left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left="440" w:firstLine="1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Избирательная комиссия Мурманской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31FB4" w:rsidRDefault="00861D39">
      <w:pPr>
        <w:ind w:left="4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Государственные учреждения – в количеств 147:</w:t>
      </w:r>
    </w:p>
    <w:p w:rsidR="00631FB4" w:rsidRDefault="00861D39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казенные учреждения - количество 23</w:t>
      </w:r>
    </w:p>
    <w:p w:rsidR="00631FB4" w:rsidRDefault="00861D39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бюджетные учреждения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63</w:t>
      </w:r>
    </w:p>
    <w:p w:rsidR="00631FB4" w:rsidRDefault="00861D39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автономные учреждения – количество 61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казенных учреждений на 01.01.2024 года увеличилось на 1 учреждение в соответствии с распоряжением Правительства Мурманской области от 25.10.2023 № 286-РП «О создании государственного областного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казенного учреждения «Центр бюджетного учета и аналитики». 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Государственные унитарные предприятия – количество 4, изменений по сравнению с предыдущем отчетным годом нет.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сельскохозяйственное предприятие (племенной репродуктор)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Тулома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акшаводоканал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ГОУП «Универсальный спортивно-досуговый центр».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Calibri" w:eastAsia="Calibri" w:hAnsi="Calibri" w:cs="Calibri"/>
          <w:color w:val="000000"/>
        </w:rPr>
        <w:t> </w:t>
      </w:r>
    </w:p>
    <w:p w:rsidR="00631FB4" w:rsidRDefault="00861D39">
      <w:pPr>
        <w:ind w:firstLine="5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2.  Результаты деятельности субъекта бюджетной отчетности.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2023 год исполнение областного бюджета характеризуется следующими данными: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областного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исполнены в размере 127 680,8 млн рублей,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налоговые и неналоговые доходы – 110 257,7 млн рублей;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областного бюджета исполнены в размере 28 100,3 млн рублей;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 составил 419,5 млн рублей или 0,4 % от налоговых и неналоговых дох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одов. Таким образом, дефицит бюджета не превышает 10 % и в полной мере удовлетворяет условиям соглашений с Минфином России в части ограничения его размера. 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областного бюджета в 2023 году осуществлялось в условиях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давления на фоне обострения геополитической ситуации в мире. 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параметры областного бюджета в 2023 году исполнены в следующих объёмах: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по доходам в сумме 127,7 млрд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рублей, что на 20,5 % (21,7 млрд рублей) больше аналогичного показателя 2022 года (в сравнении с 2018 годом прирост составил 100 % или 64 млрд рублей).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факторами, оказавшими влияние на увеличение доходов областного бюджета Мурманской области в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023 году по сравнению с 2022 годом, являются: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налогу на прибыль организаций - изменение порядка уплаты налога предприятиями, которые до 1 января 2023 года являлись участниками консолидированных групп налогоплательщиков: с 1 января 2023 года в бюджет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Мурманской области производится зачисление налога от предприятий, осуществляющих деятельность на территории других субъектов Российской Федерации;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по налогу на доходы физических лиц – проведение в 2022 году возвратов переплаты налогоплательщиками, а такж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– увеличение фонда оплаты труда работников организаций.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по расходам – 128,1 млрд рублей, что на 2,1 % (2,8 млрд рублей) меньше аналогичного показателя 2022 года (в сравнении с 2018 годом прирост более чем в 2 раза или 64,4 млрд рублей).</w:t>
      </w:r>
    </w:p>
    <w:p w:rsidR="00631FB4" w:rsidRDefault="00861D39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динам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 исполнения расходов областного бюджета к расходам 2022 года обусловлено меньшим плановым объемом расходов областного бюджета.</w:t>
      </w:r>
    </w:p>
    <w:p w:rsidR="00631FB4" w:rsidRDefault="00861D39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 бюджета, с учетом корректировки на сумму изменения остатков средств на счете, составил – 6 114,4 млн рублей (7 % от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логовых и неналоговых доходов). Таким образом, дефицит бюджета не превысил 10 %, что в полной мере удовлетворяет требованиям условий соглашений с Минфином России в части ограничения размера дефицита. </w:t>
      </w:r>
    </w:p>
    <w:p w:rsidR="00631FB4" w:rsidRDefault="00861D3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631FB4" w:rsidRDefault="00861D39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доходов в сравнении с предыдущим годом хар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актеризуется следующими данными:</w:t>
      </w:r>
    </w:p>
    <w:p w:rsidR="00631FB4" w:rsidRDefault="00861D39">
      <w:pPr>
        <w:ind w:firstLine="4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тыс. 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035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1545"/>
        <w:gridCol w:w="1559"/>
        <w:gridCol w:w="1560"/>
        <w:gridCol w:w="1464"/>
        <w:gridCol w:w="1701"/>
      </w:tblGrid>
      <w:tr w:rsidR="00631FB4">
        <w:trPr>
          <w:trHeight w:val="655"/>
          <w:jc w:val="center"/>
        </w:trPr>
        <w:tc>
          <w:tcPr>
            <w:tcW w:w="2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Исполнено, тыс. рублей</w:t>
            </w:r>
          </w:p>
        </w:tc>
        <w:tc>
          <w:tcPr>
            <w:tcW w:w="45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Рост (+) (снижение (-)) по сравнению с 2022 (тыс. рублей)</w:t>
            </w:r>
          </w:p>
        </w:tc>
      </w:tr>
      <w:tr w:rsidR="00631FB4">
        <w:trPr>
          <w:trHeight w:val="915"/>
          <w:jc w:val="center"/>
        </w:trPr>
        <w:tc>
          <w:tcPr>
            <w:tcW w:w="25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Утверждено, тыс. рублей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Исполнено, тыс. рублей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 исполнения от утвержденных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назначений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631FB4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631FB4">
        <w:trPr>
          <w:trHeight w:val="396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86 319 533,73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104 972 039,22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110 253 440,14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+23 933 906,41</w:t>
            </w:r>
          </w:p>
        </w:tc>
      </w:tr>
      <w:tr w:rsidR="00631FB4">
        <w:trPr>
          <w:trHeight w:val="415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83 584 769,35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103 840 871,31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108 157 988,20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+2 573 218,85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71 504 970,43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90 654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874,65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92 240 304,02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+20 735 333,59</w:t>
            </w:r>
          </w:p>
        </w:tc>
      </w:tr>
      <w:tr w:rsidR="00631FB4">
        <w:trPr>
          <w:trHeight w:val="722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4 540 625,16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4 364 098,96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4 935 812,64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113,10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+395 187,48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56 688,24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78 538,20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88 025,23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+31 336,99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Налоги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имущество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3 954 404,27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3 597 335,40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4 659 967,50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+705 563,23</w:t>
            </w:r>
          </w:p>
        </w:tc>
      </w:tr>
      <w:tr w:rsidR="00631FB4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3 467 668,23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5 063 634,70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6 142 512,43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121,31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+2 674 844,20</w:t>
            </w:r>
          </w:p>
        </w:tc>
      </w:tr>
      <w:tr w:rsidR="00631FB4">
        <w:trPr>
          <w:trHeight w:val="352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60 430,6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82 389,40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91 565,15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+31 134,55</w:t>
            </w:r>
          </w:p>
        </w:tc>
      </w:tr>
      <w:tr w:rsidR="00631FB4">
        <w:trPr>
          <w:trHeight w:val="776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+18,81</w:t>
            </w:r>
          </w:p>
        </w:tc>
      </w:tr>
      <w:tr w:rsidR="00631FB4">
        <w:trPr>
          <w:trHeight w:val="481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2 734 764,38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1 131 167,91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2 095 451,94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185,25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-639 312,44</w:t>
            </w:r>
          </w:p>
        </w:tc>
      </w:tr>
      <w:tr w:rsidR="00631FB4">
        <w:trPr>
          <w:trHeight w:val="493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использования имущества, находящегося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государственной и муниципальной собственности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1 819 436,86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95 384,19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351 146,93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368,14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-1 468 289,93</w:t>
            </w:r>
          </w:p>
        </w:tc>
      </w:tr>
      <w:tr w:rsidR="00631FB4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37 082,73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88 321,88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152 630,39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+115 547,66</w:t>
            </w:r>
          </w:p>
        </w:tc>
      </w:tr>
      <w:tr w:rsidR="00631FB4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оказания платных услуг и компенсации затрат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470 498,55</w:t>
            </w:r>
          </w:p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550 815,39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567 075,59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+96 577,04</w:t>
            </w:r>
          </w:p>
        </w:tc>
      </w:tr>
      <w:tr w:rsidR="00631FB4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22 375,38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8 457,30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3 606,95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-18 768,43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платежи и сборы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889,91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1 577,96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+2 467,87</w:t>
            </w:r>
          </w:p>
        </w:tc>
      </w:tr>
      <w:tr w:rsidR="00631FB4">
        <w:trPr>
          <w:trHeight w:val="35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Штрафы,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385 113,80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387 196,71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998 274,07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257,82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+ 613 160,27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-632,85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21 140,04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+21 772,89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19 646 943,40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15 504 441,43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17 423 023,00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-2 223 920,40</w:t>
            </w:r>
          </w:p>
        </w:tc>
      </w:tr>
      <w:tr w:rsidR="00631FB4">
        <w:trPr>
          <w:trHeight w:val="517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других бюджетов бюджетной системы РФ,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17 778 677,04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12 959 772,62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16 161 367,27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124,70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-1 617 309,77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2 054 652,50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1 597 515,90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1 730 056,00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-324 596,50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9 686 428,14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7 734 874,51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7 766 939,77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-1 919 488,37</w:t>
            </w:r>
          </w:p>
        </w:tc>
      </w:tr>
      <w:tr w:rsidR="00631FB4">
        <w:trPr>
          <w:trHeight w:val="170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2 562 509,81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1 643 447,50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1 405 035,83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1 157 473,98</w:t>
            </w:r>
          </w:p>
        </w:tc>
      </w:tr>
      <w:tr w:rsidR="00631FB4">
        <w:trPr>
          <w:trHeight w:val="258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3 475 085,59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1 983 937,71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5 259 335,67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265,10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+1 784 250,08</w:t>
            </w:r>
          </w:p>
        </w:tc>
      </w:tr>
      <w:tr w:rsidR="00631FB4">
        <w:trPr>
          <w:trHeight w:val="789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1 638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2 325 125,94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601 390,26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-1 037 209,28</w:t>
            </w:r>
          </w:p>
        </w:tc>
      </w:tr>
      <w:tr w:rsidR="00631FB4">
        <w:trPr>
          <w:trHeight w:val="582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Безвозмездные поступления от негосударственных организаций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7 759,30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219 542,86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252 567,85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+244 808,55</w:t>
            </w:r>
          </w:p>
        </w:tc>
      </w:tr>
      <w:tr w:rsidR="00631FB4">
        <w:trPr>
          <w:trHeight w:val="493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бюджетов бюджетной системы российской федерации от возврата остатков субсидий,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612 284,27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474 484,13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-137 800,14</w:t>
            </w:r>
          </w:p>
        </w:tc>
      </w:tr>
      <w:tr w:rsidR="00631FB4">
        <w:trPr>
          <w:trHeight w:val="946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-390 376,75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-106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608,29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+283 768,46</w:t>
            </w:r>
          </w:p>
        </w:tc>
      </w:tr>
      <w:tr w:rsidR="00631FB4">
        <w:trPr>
          <w:trHeight w:val="575"/>
          <w:jc w:val="center"/>
        </w:trPr>
        <w:tc>
          <w:tcPr>
            <w:tcW w:w="2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Доходы, всего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105 966 477,13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120 476 480,65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127 676 463,14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105,98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+21 709 986,01</w:t>
            </w:r>
          </w:p>
        </w:tc>
      </w:tr>
    </w:tbl>
    <w:p w:rsidR="00631FB4" w:rsidRDefault="00861D39">
      <w:pPr>
        <w:ind w:firstLine="540"/>
        <w:jc w:val="right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Областной бюджет в 2023 году исполнен по доходам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127 676 463,14 тыс. рублей, что на 6,0 % больше объёма, утверждённого законом об областном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бюджете; по расходам – в сумме 128 095 994,8 тыс. рублей, что на 6,9 % меньше уточненных бюджетных назначений. Бюджет исполнен с дефицитом в размере 419 531,7 тыс. рублей.</w:t>
      </w:r>
    </w:p>
    <w:p w:rsidR="00631FB4" w:rsidRDefault="00861D39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 основными источниками доходной части бюджета являлись налоговые и ненало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говые поступления, которые по результатам 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составили 110 253,4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рублей, или 86,4 % в общем объёме доходов областного бюджета.</w:t>
      </w:r>
    </w:p>
    <w:p w:rsidR="00631FB4" w:rsidRDefault="00861D39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2023 году, как и в предыдущие годы, основную долю налоговых поступлений формируют два источника доходов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налог на прибыль организаций 56,6 млрд рублей) и налог на доходы физических лиц (35,7 млрд рублей), совокупная доля которых в налоговых и неналоговых доходах составляет – 83,7 %.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факторами, оказавшими влияние на увеличение доходов областного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Мурманской области в 2023 году по сравнению с 2022 годом, являются: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налогу на прибыль организаций - изменение порядка уплаты налога предприятиями, которые до 1 января 2023 года являлись участниками консолидированных групп налогоплательщиков: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января 2023 года в бюджет Мурманской области производится зачисление налога от предприятий, осуществляющих деятельность на территории других субъектов Российской Федерации;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налогу на доходы физических лиц – проведение в 2022 году возвратов переплат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налогоплательщиками, а также увеличение фонда оплаты труда работников организаций.</w:t>
      </w:r>
    </w:p>
    <w:p w:rsidR="00631FB4" w:rsidRDefault="00861D39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Наполнение доходной части бюджета региона существенно зависит от результатов деятельности крупнейших налогоплательщиков, занимающихся добычей, переработкой и транспортиров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полезных ископаемых, производством минеральных удобрений и предприятий топливно-энергетического комплекса (Кировский филиал АО «Апатит», АО «Ковдорский ГОК», АО «Кольская ГМК»,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Олкон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АО «Кольская АЭС».</w:t>
      </w:r>
    </w:p>
    <w:p w:rsidR="00631FB4" w:rsidRDefault="00861D39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вышеуказанные компании являются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кспортно-ориентированными, на их деятельность существенное влияние оказывают экономические факторы мирового характера – такие как волатильность курса национальной валюты, изменение конъюнктуры рынков сбыта и цен на производимую продукцию.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31FB4" w:rsidRDefault="00861D39">
      <w:pPr>
        <w:ind w:firstLine="4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ходов областного бюджета в сравнении с предыдущим годом характеризуется следующими данными: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Областной бюджет Мурманской области по расходам исполнен в сумме 128 095 994,8 тыс. рублей, что составляет 93,1 % от уточненных бюджетных назначений и на 2,1 % 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 по сравнению с исполнением за 2022 год.</w:t>
      </w:r>
    </w:p>
    <w:p w:rsidR="00631FB4" w:rsidRDefault="00861D39">
      <w:pPr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тыс. рублей </w:t>
      </w:r>
    </w:p>
    <w:tbl>
      <w:tblPr>
        <w:tblW w:w="9675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1548"/>
        <w:gridCol w:w="1545"/>
        <w:gridCol w:w="1545"/>
        <w:gridCol w:w="1129"/>
        <w:gridCol w:w="1244"/>
      </w:tblGrid>
      <w:tr w:rsidR="00631FB4">
        <w:trPr>
          <w:trHeight w:val="129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Сводная бюджетная роспись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исполне-ния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сводной бюджет-ной росписи</w:t>
            </w:r>
          </w:p>
        </w:tc>
        <w:tc>
          <w:tcPr>
            <w:tcW w:w="1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Отклонение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показа-теля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2022 года (%)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5=4/3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"Здравоохранение"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19 254 195,1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20 807 503,1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20 481 822,0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"Образование и наука"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26 789 231,7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26 334 575,1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25 386 180,9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"Социальная поддержка"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21 443 336,6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21 852 790,9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21 389 750,2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"Физическая культура и спорт"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1 959 838,4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2 137 669,5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2 058 000,6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75,8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"Культура"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2 899 000,5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3 025 004,2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3 015 662,7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"Занятость и труд"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1 287 686,6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1 066 753,2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1 044 427,7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</w:tr>
      <w:tr w:rsidR="00631FB4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"Комфортное жилье и городская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18 967 567,5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22 324 112,8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20 715 997,8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86,2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"Общественная безопасность"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2 342 300,6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2 442 945,6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2 103 985,1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"Природные ресурсы и экология"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1 720 065,6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1 286 838,5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1 240 741,3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51,6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"Рыбное и сельское хозяйство"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1 260 945,6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1 441 561,7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1 391 949,9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программа "Экономический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потенциал"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2 403 163,5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2 520 204,9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32,6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"Информационное общество"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1 906 675,6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1 883 982,0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"Финансы"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9 386 242,2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10 715 824,8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10 495 518,1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</w:tr>
      <w:tr w:rsidR="00631FB4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"Государственное управление и гражданское общество"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2 868 088,2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2 972 091,7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2 877 310,3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программа "Транспортная система"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10 610 800,8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12 532 751,1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11 617 648,7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302 548,5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4 201 241,8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1 601 341,3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117,7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131 403 202,3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137 568 544,4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128 095 994,8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</w:tr>
      <w:tr w:rsidR="00631FB4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15 496 969,5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18 619 575,1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18 005 772,8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</w:tbl>
    <w:p w:rsidR="00631FB4" w:rsidRDefault="00861D39">
      <w:pPr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 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2023 году наибольший рост объемов бюджетных ассигнований по сравнению с 2022 годом отмечается по следующим государственным программам: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«Транспортная система», что обусловлено направлением средств на реконструкцию автомобильной дороги Апатиты-Кировск, км 2+688 — км 14+314 (за счет средств, направленных на финансовое обеспечение реализации инфраструктурных проектов, источником финансового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беспечения которых являются бюджетные кредиты, предоставляемые из федерального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бюджету Мурманской области, далее – ИБК), капитальным ремонтом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автоподъезда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селу Териберка, км 20 - км 35 (в рамках национального проекта «Безопасные качественные 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ги), предоставлением межбюджетных трансфертов на реализацию мероприятий в рамках национального проекта «Безопасные качественные дороги», на содержание автодорог;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«Финансы», что обусловлено предоставлением дотаций на поддержку мер по обеспечению сбалансир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ованности местных бюджетов и субсидии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расходов, направляемых на оплату труда и начисления на выплаты по оплате труда работникам муниципальных учреждений в большем объеме по сравнению с 2022 годом;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«Информационное общество», что обусловл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ено направлением средств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цифровизацию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общественной безопасности и предоставлением субсидии на финансовое обеспечение выполнения государственного задания;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«Рыбное и сельское хозяйство», что обусловлено направлением средств на капитальный ремонт МАУК «Гор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одской Дворец культуры»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расположенного по адресу: Мурманская область, Ковдорский район,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Ковдор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ул. Школьная.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2023 году исполнение 98,7 % расходов областного бюджета (126 494,7 млн рублей) осуществлялось в рамках 15 государственных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охватывающих основные сферы (направления) деятельности исполнительных органов Мурманской области.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Объем неисполненных расходных обязательств в рамках государственных программ от уточненных плановых назначений составил – 6 872,6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млн рублей, или 5,2 %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ложился в основном в рамках следующих государственных программ:</w:t>
      </w:r>
    </w:p>
    <w:p w:rsidR="00631FB4" w:rsidRDefault="00861D39">
      <w:pPr>
        <w:numPr>
          <w:ilvl w:val="0"/>
          <w:numId w:val="6"/>
        </w:numPr>
        <w:ind w:left="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«Экономический потенциал» (1 728,5 млн рублей, или 68,6 %).</w:t>
      </w:r>
    </w:p>
    <w:p w:rsidR="00631FB4" w:rsidRDefault="00861D39">
      <w:pPr>
        <w:numPr>
          <w:ilvl w:val="0"/>
          <w:numId w:val="6"/>
        </w:numPr>
        <w:ind w:left="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«Комфортное жилье и городская среда» (1 608,1 млн рублей, или 7,2 %);</w:t>
      </w:r>
    </w:p>
    <w:p w:rsidR="00631FB4" w:rsidRDefault="00861D39">
      <w:pPr>
        <w:numPr>
          <w:ilvl w:val="0"/>
          <w:numId w:val="6"/>
        </w:numPr>
        <w:ind w:left="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«Образование и наука» (948,4 млн рублей, или 3,6 %);</w:t>
      </w:r>
    </w:p>
    <w:p w:rsidR="00631FB4" w:rsidRDefault="00861D39">
      <w:pPr>
        <w:numPr>
          <w:ilvl w:val="0"/>
          <w:numId w:val="6"/>
        </w:numPr>
        <w:ind w:left="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«Транспо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ртная система» (915,1 млн рублей, или 7,3 %);</w:t>
      </w:r>
    </w:p>
    <w:p w:rsidR="00631FB4" w:rsidRDefault="00861D39">
      <w:pPr>
        <w:numPr>
          <w:ilvl w:val="0"/>
          <w:numId w:val="6"/>
        </w:numPr>
        <w:ind w:left="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«Социальная поддержка» (463,0 млн рублей, или 2,1 %).</w:t>
      </w:r>
    </w:p>
    <w:tbl>
      <w:tblPr>
        <w:tblW w:w="9810" w:type="dxa"/>
        <w:tblInd w:w="1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7"/>
      </w:tblGrid>
      <w:tr w:rsidR="00631FB4">
        <w:trPr>
          <w:trHeight w:val="825"/>
        </w:trPr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Дефицит бюджета составил – 419,5 млн рублей (0,4 % от налоговых и неналоговых доходов). Дефицит бюджета не превысил 10 % утвержденного общего годового объема доходов областного бюджета без учета утвержденного объема безвозмездных поступлений, что в полной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мере удовлетворяет требованиям условий соглашений с Минфином России в части ограничения размера дефицита. 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60"/>
              <w:jc w:val="center"/>
              <w:outlineLvl w:val="2"/>
              <w:rPr>
                <w:b/>
                <w:color w:val="000000"/>
                <w:sz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  3.   Анализ отчета об исполнении бюджета субъектом бюджетной отчетности.</w:t>
            </w:r>
          </w:p>
          <w:p w:rsidR="00631FB4" w:rsidRDefault="00861D39">
            <w:pPr>
              <w:ind w:firstLine="540"/>
              <w:jc w:val="both"/>
              <w:outlineLvl w:val="2"/>
              <w:rPr>
                <w:b/>
                <w:color w:val="000000"/>
                <w:sz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составе раздела представлены следующие формы отчетности: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ения об исполнении текстовых статей закона (решения) о бюджете (Таблица № 3);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исполнении бюджета (ф.0503164) (далее – Сведения ф. 0503164).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связи с отсутствием числовых показателей в составе годовой отчетности отсутствуют формы: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Сведения об исполнении мероприятий в рамках целевых программ </w:t>
            </w:r>
            <w:hyperlink r:id="rId6">
              <w:r>
                <w:rPr>
                  <w:rStyle w:val="a4"/>
                  <w:rFonts w:ascii="Calibri" w:eastAsia="Calibri" w:hAnsi="Calibri" w:cs="Calibri"/>
                  <w:color w:val="000000"/>
                  <w:sz w:val="28"/>
                  <w:szCs w:val="28"/>
                  <w:u w:val="none"/>
                </w:rPr>
                <w:t>(ф.0503166)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Сведениях о целе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вых иностранных кредитах </w:t>
            </w:r>
            <w:hyperlink r:id="rId7">
              <w:r>
                <w:rPr>
                  <w:rStyle w:val="a4"/>
                  <w:rFonts w:ascii="Calibri" w:eastAsia="Calibri" w:hAnsi="Calibri" w:cs="Calibri"/>
                  <w:color w:val="000000"/>
                  <w:sz w:val="28"/>
                  <w:szCs w:val="28"/>
                  <w:u w:val="none"/>
                </w:rPr>
                <w:t>(ф. 0503167)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 w:rsidP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Причины отклонения суммы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неисполненных назначе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отраженных с кодом 99 иные причины в графе 8,9 Сведениях об исполнении бюджета (ф.0503164) сформированы на основании показателей представленных главными администраторами доходов бюджета, главными распорядителями бюджетных средств, главными администрато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рами источников финансирования дефицита бюджета.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tbl>
            <w:tblPr>
              <w:tblW w:w="1008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226"/>
              <w:gridCol w:w="920"/>
              <w:gridCol w:w="151"/>
              <w:gridCol w:w="1882"/>
              <w:gridCol w:w="140"/>
              <w:gridCol w:w="5654"/>
            </w:tblGrid>
            <w:tr w:rsidR="00631FB4">
              <w:trPr>
                <w:trHeight w:val="240"/>
              </w:trPr>
              <w:tc>
                <w:tcPr>
                  <w:tcW w:w="11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78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ведомство</w:t>
                  </w:r>
                </w:p>
              </w:tc>
              <w:tc>
                <w:tcPr>
                  <w:tcW w:w="8022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631FB4">
              <w:trPr>
                <w:trHeight w:val="364"/>
              </w:trPr>
              <w:tc>
                <w:tcPr>
                  <w:tcW w:w="112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Доходы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78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805</w:t>
                  </w:r>
                </w:p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1 393 559,04</w:t>
                  </w:r>
                </w:p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220 872,87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2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Заявительный характер выплат</w:t>
                  </w:r>
                </w:p>
              </w:tc>
            </w:tr>
            <w:tr w:rsidR="00631FB4">
              <w:trPr>
                <w:trHeight w:val="36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8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197 119,94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2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Снижение нарушений законодательства</w:t>
                  </w:r>
                </w:p>
              </w:tc>
            </w:tr>
            <w:tr w:rsidR="00631FB4">
              <w:trPr>
                <w:trHeight w:val="36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81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832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33 022,88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2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Снижение количества обращений контрагентов на оказание платных услуг </w:t>
                  </w:r>
                </w:p>
              </w:tc>
            </w:tr>
            <w:tr w:rsidR="00631FB4">
              <w:trPr>
                <w:trHeight w:val="36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631FB4">
                  <w:pPr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15 283,21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2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Оплата производится за фактически оказанные услуги </w:t>
                  </w:r>
                </w:p>
              </w:tc>
            </w:tr>
            <w:tr w:rsidR="00631FB4">
              <w:trPr>
                <w:trHeight w:val="36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631FB4">
                  <w:pPr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74 224,00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Оплата работ по "факту" на основании актов выполненных работ   </w:t>
                  </w:r>
                </w:p>
              </w:tc>
            </w:tr>
            <w:tr w:rsidR="00631FB4">
              <w:trPr>
                <w:trHeight w:val="54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28 677,37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2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Объем поступлений доходов зависит от выявленных нарушений законодательства и не поддается прогнозированию </w:t>
                  </w:r>
                </w:p>
              </w:tc>
            </w:tr>
            <w:tr w:rsidR="00631FB4">
              <w:trPr>
                <w:trHeight w:val="54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631FB4">
                  <w:pPr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Объем поступлений доходов зависит от выявленных нарушений законодательства и не поддается прогнозированию </w:t>
                  </w:r>
                </w:p>
              </w:tc>
            </w:tr>
            <w:tr w:rsidR="00631FB4">
              <w:trPr>
                <w:trHeight w:val="54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color w:val="000000"/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834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162 500,00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Снижение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количества обращений</w:t>
                  </w:r>
                </w:p>
              </w:tc>
            </w:tr>
            <w:tr w:rsidR="00631FB4">
              <w:trPr>
                <w:trHeight w:val="54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81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860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123 885,70</w:t>
                  </w:r>
                </w:p>
              </w:tc>
              <w:tc>
                <w:tcPr>
                  <w:tcW w:w="5966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Снижение количества обращений</w:t>
                  </w:r>
                </w:p>
              </w:tc>
            </w:tr>
            <w:tr w:rsidR="00631FB4">
              <w:trPr>
                <w:trHeight w:val="544"/>
              </w:trPr>
              <w:tc>
                <w:tcPr>
                  <w:tcW w:w="112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ind w:firstLine="40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915 714,00</w:t>
                  </w:r>
                </w:p>
              </w:tc>
              <w:tc>
                <w:tcPr>
                  <w:tcW w:w="5966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631FB4">
                  <w:pPr>
                    <w:rPr>
                      <w:color w:val="000000"/>
                      <w:sz w:val="24"/>
                    </w:rPr>
                  </w:pPr>
                </w:p>
              </w:tc>
            </w:tr>
            <w:tr w:rsidR="00631FB4">
              <w:trPr>
                <w:trHeight w:val="871"/>
              </w:trPr>
              <w:tc>
                <w:tcPr>
                  <w:tcW w:w="1120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Расходы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81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378 858 707,78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ind w:firstLine="4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Экономия бюджетных ассигнований, предусмотренных на выплату денежного содержания, на уплату страховых взносов, оптимизация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расходов на текущее содержание Думы</w:t>
                  </w:r>
                </w:p>
              </w:tc>
            </w:tr>
            <w:tr w:rsidR="00631FB4">
              <w:trPr>
                <w:trHeight w:val="699"/>
              </w:trPr>
              <w:tc>
                <w:tcPr>
                  <w:tcW w:w="1120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104 800,00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 причине отмены образовательной программы повышения квалификации в связи с недобором группы и заменой другим обучением с меньшей стоимостью</w:t>
                  </w:r>
                </w:p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31FB4">
              <w:trPr>
                <w:trHeight w:val="843"/>
              </w:trPr>
              <w:tc>
                <w:tcPr>
                  <w:tcW w:w="1120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78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813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216 965 500,00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Срок реализации мероприятий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инфраструктурного проекта "Культурно-деловой центр "Новый Мурманск" перенесен на 2024-2025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гг</w:t>
                  </w:r>
                  <w:proofErr w:type="spellEnd"/>
                </w:p>
              </w:tc>
            </w:tr>
            <w:tr w:rsidR="00631FB4">
              <w:trPr>
                <w:trHeight w:val="1121"/>
              </w:trPr>
              <w:tc>
                <w:tcPr>
                  <w:tcW w:w="1120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8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832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2 535 080,00</w:t>
                  </w:r>
                </w:p>
              </w:tc>
              <w:tc>
                <w:tcPr>
                  <w:tcW w:w="59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 w:rsidP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Повышение квалификации в сфере мобилизационной подготовки в соответствии с положением Федерального закона РФ от 26.02.1997 № 31-ФЗ " 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мобилизационной подготовке и мобилизации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РФ, постановления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Правительства РФ от 25 августа 2016 № 844 "Об организации обучения по дополнительным профессиональным программам повышения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квалификации работников мобилизационных органов 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руководителей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имеющ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их мобилизационные задания" проводится 1 раз в три года. Обучение проводилось в 2021 году.</w:t>
                  </w:r>
                </w:p>
              </w:tc>
            </w:tr>
            <w:tr w:rsidR="00631FB4">
              <w:trPr>
                <w:trHeight w:val="838"/>
              </w:trPr>
              <w:tc>
                <w:tcPr>
                  <w:tcW w:w="1271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Источники 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81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:rsidR="00631FB4" w:rsidRDefault="00861D3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808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- 1 714 761 500,00</w:t>
                  </w:r>
                </w:p>
              </w:tc>
              <w:tc>
                <w:tcPr>
                  <w:tcW w:w="5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связи с привлечением бюджетного кредита на финансовое обеспечение реализации инфраструктурных проектов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Минфине России</w:t>
                  </w:r>
                </w:p>
              </w:tc>
            </w:tr>
            <w:tr w:rsidR="00631FB4">
              <w:trPr>
                <w:trHeight w:val="424"/>
              </w:trPr>
              <w:tc>
                <w:tcPr>
                  <w:tcW w:w="127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2 725 601 240,00</w:t>
                  </w:r>
                </w:p>
              </w:tc>
              <w:tc>
                <w:tcPr>
                  <w:tcW w:w="5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 связи с привлечением бюджетных кредитов за счет временно свободных средств единого счета федерального бюджета в Федеральном казначействе</w:t>
                  </w:r>
                </w:p>
              </w:tc>
            </w:tr>
            <w:tr w:rsidR="00631FB4">
              <w:trPr>
                <w:trHeight w:val="420"/>
              </w:trPr>
              <w:tc>
                <w:tcPr>
                  <w:tcW w:w="127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2 097 485,13</w:t>
                  </w:r>
                </w:p>
              </w:tc>
              <w:tc>
                <w:tcPr>
                  <w:tcW w:w="5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Операции по управлению остатками средств на едином счете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областного бюджета Мурманской области</w:t>
                  </w:r>
                </w:p>
              </w:tc>
            </w:tr>
            <w:tr w:rsidR="00631FB4">
              <w:trPr>
                <w:trHeight w:val="423"/>
              </w:trPr>
              <w:tc>
                <w:tcPr>
                  <w:tcW w:w="127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- 464 343 279,24</w:t>
                  </w:r>
                </w:p>
              </w:tc>
              <w:tc>
                <w:tcPr>
                  <w:tcW w:w="5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Операции по управлению остатками средств на едином счете областного бюджета Мурманской области</w:t>
                  </w:r>
                </w:p>
              </w:tc>
            </w:tr>
            <w:tr w:rsidR="00631FB4">
              <w:trPr>
                <w:trHeight w:val="581"/>
              </w:trPr>
              <w:tc>
                <w:tcPr>
                  <w:tcW w:w="127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1 084 895 767,36</w:t>
                  </w:r>
                </w:p>
              </w:tc>
              <w:tc>
                <w:tcPr>
                  <w:tcW w:w="5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Операции по управлению остатками средств на едином счете областного бюджета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Мурманской области</w:t>
                  </w:r>
                </w:p>
              </w:tc>
            </w:tr>
            <w:tr w:rsidR="00631FB4">
              <w:trPr>
                <w:trHeight w:val="434"/>
              </w:trPr>
              <w:tc>
                <w:tcPr>
                  <w:tcW w:w="127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631FB4">
                  <w:pPr>
                    <w:rPr>
                      <w:sz w:val="24"/>
                    </w:rPr>
                  </w:pPr>
                </w:p>
              </w:tc>
              <w:tc>
                <w:tcPr>
                  <w:tcW w:w="781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05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3 107 468 041,27</w:t>
                  </w:r>
                </w:p>
              </w:tc>
              <w:tc>
                <w:tcPr>
                  <w:tcW w:w="59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31FB4" w:rsidRDefault="00861D3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Операции по управлению остатками средств на едином счете областного бюджета Мурманской области</w:t>
                  </w:r>
                </w:p>
              </w:tc>
            </w:tr>
          </w:tbl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Данные об операциях по управлению остатками средств на едином счете областного бюджета Мурманской области за 2023 год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на единый счет областного бюджета и возврат привлеченных средств в соответствии с подпунктом 2 пункта 6 статьи 236.1 Бюджетного кодекса Российской Федерации (остатки средств на казначейских счетах для осуществления и отражения операций с дене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жными средствами, поступающими во временное распоряжение получателей средств бюджета Мурманской области):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Подкрепление счета 03222 – 106 936 812,60 руб.;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03222 – 109 034 297,73 руб.;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на единый счет област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 бюджета и возврат привлеченных средств в соответствии с подпунктом 2 пункта 6 статьи 236.1 Бюджетного кодекса Российской Федерации (остатки средств на казначейских счетах для осуществления и отражения операций с денежными средствами бюджетных и автоно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мных учреждений, открытых финансовому органу Мурманской области):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Подкрепление счета 03224 – 25 095 431 001,49 руб.;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03224 – 24 631 087 722,25 руб.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на единый счет областного бюджета и возврат привлеченных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средств в соответствии с подпунктом 2 пункта 6 статьи 236.1 Бюджетного кодекса Российской Федерации (остатки средств на единых счетах бюджетов государственных внебюджетных фондов, открытых органу управления территориальным государственным внебюджетным фон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дом):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Подкрепление счета 03271 – 15 914 276 506,85 руб.;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03271 – 16 999 172 274,21 руб.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Привлечение на единый счет областного бюджета и возврат привлеченных средств в соответствии с подпунктом 2 пункта 6 статьи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236.1 Бюджетного кодекса Российской Федерации (остатки средств на казначейских счетах для осуществления и отражения операций с денежными средствами участников казначейского сопровождения, открытых финансовому органу Мурманской области):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Подкрепление счета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03225 – 5 928 811 046,58 руб.;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Перечисление остатка средств со счета 03225 – 9 036 279 087,85 руб.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631FB4" w:rsidRDefault="00861D39">
            <w:pPr>
              <w:ind w:firstLine="5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привлеченных средств на единый счет областного бюджета, подлежащий возврату на казначейские счета, по состоянию на 01.01.2024 года составляет 6 770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77 838,17 руб.</w:t>
            </w:r>
          </w:p>
          <w:p w:rsidR="00631FB4" w:rsidRDefault="00861D39">
            <w:pPr>
              <w:ind w:firstLine="6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за 2023 год по коду источника финансирования дефицита бюджета по бюджетной классификации 80801061002020000550 «Увеличение финансовых активов в собственности субъектов Российской Федерации за счет средств на казначейских счетах 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ениями» составило 3 730 118 014 руб. 52 коп.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 Анализ показателей финансовой отчетности субъекта бюджетной отчетности.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движении нефинансовых активов </w:t>
      </w:r>
      <w:hyperlink r:id="rId8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0503168)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по дебиторской и кредиторской задолженности </w:t>
      </w:r>
      <w:hyperlink r:id="rId9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0503169)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 о финансовых вложениях получателя бюджетных средств, администратора источников финансирования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ефицита бюджета </w:t>
      </w:r>
      <w:hyperlink r:id="rId10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0503171)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государственном (муниципальном) долге </w:t>
      </w:r>
      <w:hyperlink r:id="rId11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0503172)</w:t>
        </w:r>
      </w:hyperlink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изменении остатков валюты баланса (ф. 0503173);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доходах бюджета от перечисления части прибыли (дивидендов) государственных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(муниципальных) унитарных предприятий, иных организаций с государственным участием в капитале (ф. 0503174);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принятых и неисполненных обязательствах получателя бюджетных средств (ф. 0503175);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остатках денежных средств на счетах получ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ателя бюджетных средств </w:t>
      </w:r>
      <w:hyperlink r:id="rId12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0503178)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вложениях в объекты недвижимого имущества, объектах незавершенного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 (ф. 0503190).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    Сведения о движении нефинансовых активов» </w:t>
      </w:r>
      <w:hyperlink r:id="rId13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0503168)</w:t>
        </w:r>
      </w:hyperlink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содержит обобщенные за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тчетный период данные о движении нефинансовых активов субъекта бюджетной отчетности.</w:t>
      </w:r>
    </w:p>
    <w:tbl>
      <w:tblPr>
        <w:tblW w:w="1050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631FB4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ind w:firstLine="46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Балансовая стоимость основных средств на конец отчетного периода составила 10 896 895,62 тыс. рублей;</w:t>
            </w:r>
          </w:p>
        </w:tc>
      </w:tr>
      <w:tr w:rsidR="00631FB4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ind w:firstLine="6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недвижимое имущество (нежилые здания и сооружения) – 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10 152 777,93тыс. рублей;</w:t>
            </w:r>
          </w:p>
        </w:tc>
      </w:tr>
      <w:tr w:rsidR="00631FB4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машины и оборудования – 625 961,50 тыс. рублей; </w:t>
            </w:r>
          </w:p>
        </w:tc>
      </w:tr>
      <w:tr w:rsidR="00631FB4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транспортные средства – 102 270,98 тыс. рублей;</w:t>
            </w:r>
          </w:p>
        </w:tc>
      </w:tr>
      <w:tr w:rsidR="00631FB4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инвентарь производственный и хозяйственный – 15 549,39 руб. тысяч;</w:t>
            </w:r>
          </w:p>
        </w:tc>
      </w:tr>
      <w:tr w:rsidR="00631FB4">
        <w:trPr>
          <w:trHeight w:val="27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иное имущество – 335,82 тыс. рублей.</w:t>
            </w:r>
          </w:p>
        </w:tc>
      </w:tr>
    </w:tbl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января 2024 года нефинансовые активы имущества казны Мурманской области составляют 3 912 206,99 тыс. рублей, из них имущество казны в концессии на сумму 1 375 738,34 тыс. рублей.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Сведения по дебиторской и кредиторской задолженности </w:t>
      </w:r>
      <w:hyperlink r:id="rId14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0503169)</w:t>
        </w:r>
      </w:hyperlink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(далее – Сведения ф. 0503169)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содержит обобщенные за отчетный период данные о состоянии расчетов по дебиторской и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едиторской задолженности субъектов бюджетной отчетности областного бюджета в разрезе видов расчетов.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hyperlink r:id="rId15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Приложения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составлены раздельно по дебиторской и кредиторской задолженности. 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Динамика и структура дебиторской 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областного бюджета Мурманской области по состоянию на 1 января 2024 года   представлены в таблице:</w:t>
      </w:r>
    </w:p>
    <w:p w:rsidR="00631FB4" w:rsidRDefault="00861D39">
      <w:pPr>
        <w:spacing w:after="120"/>
        <w:ind w:firstLine="560"/>
        <w:jc w:val="right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тыс.рублей</w:t>
      </w:r>
      <w:proofErr w:type="spellEnd"/>
    </w:p>
    <w:tbl>
      <w:tblPr>
        <w:tblW w:w="10530" w:type="dxa"/>
        <w:tblInd w:w="-31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1494"/>
        <w:gridCol w:w="1246"/>
        <w:gridCol w:w="1494"/>
        <w:gridCol w:w="1396"/>
        <w:gridCol w:w="1544"/>
        <w:gridCol w:w="1493"/>
      </w:tblGrid>
      <w:tr w:rsidR="00631FB4">
        <w:trPr>
          <w:trHeight w:val="827"/>
        </w:trPr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Дебиторская задолженность </w:t>
            </w:r>
          </w:p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01.01.2023 г.</w:t>
            </w:r>
          </w:p>
        </w:tc>
        <w:tc>
          <w:tcPr>
            <w:tcW w:w="28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01.01.2024 г.</w:t>
            </w:r>
          </w:p>
        </w:tc>
        <w:tc>
          <w:tcPr>
            <w:tcW w:w="30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 на 01.01.2024 г. к 01.01.2023 г (+,-)</w:t>
            </w:r>
          </w:p>
        </w:tc>
      </w:tr>
      <w:tr w:rsidR="00631FB4">
        <w:trPr>
          <w:trHeight w:val="577"/>
        </w:trPr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right="-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  <w:p w:rsidR="00631FB4" w:rsidRDefault="00861D39">
            <w:pPr>
              <w:ind w:right="-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просроченная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left="-100" w:right="-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просроченная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left="-100" w:right="-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  <w:p w:rsidR="00631FB4" w:rsidRDefault="00861D39">
            <w:pPr>
              <w:ind w:hanging="1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просроченная</w:t>
            </w:r>
          </w:p>
        </w:tc>
      </w:tr>
      <w:tr w:rsidR="00631FB4">
        <w:trPr>
          <w:trHeight w:val="70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39 768 065,98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904 005,36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43 242 586,28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1 825 811,33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+3 474 520,30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+921 805,97</w:t>
            </w:r>
          </w:p>
        </w:tc>
      </w:tr>
      <w:tr w:rsidR="00631FB4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(1 205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33 773 945,24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hanging="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856 254,08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35 995 027,79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561 768,35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+2 221 082,55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left="-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-294 485,73</w:t>
            </w:r>
          </w:p>
        </w:tc>
      </w:tr>
      <w:tr w:rsidR="00631FB4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Расчеты по выданным авансам 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(1 206 00 000)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5 677 026,36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36 915,02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6 507 988,62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885 988,18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+830 962,26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left="-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+849 073,16</w:t>
            </w:r>
          </w:p>
        </w:tc>
      </w:tr>
      <w:tr w:rsidR="00631FB4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(1 208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1 012,50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1 104,36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+91,86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left="-10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имуществу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(1 209 00 000)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163 435,50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10 836,26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500 932,79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378 054,80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+337 497,29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+367 218,54</w:t>
            </w:r>
          </w:p>
        </w:tc>
      </w:tr>
      <w:tr w:rsidR="00631FB4"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Расчеты по платежам в бюджеты 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(1 303 00 000)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153 646,38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18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532,72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+84 886,34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31FB4" w:rsidRDefault="00861D39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сумма дебиторской задолженности за 2023 год в сравнении с данными за аналогичный отчетный период прошлого финансового года увеличилась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3 474 520,20 тыс. рублей и на 1 января 202 года составила 43 242 586,28 тыс. рублей.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Наибольшая сумма дебиторской задолженности образовалась от предоставления межбюджетных трансфертов, начисленных в соответствии с федеральным </w:t>
      </w:r>
      <w:hyperlink r:id="rId16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стандарт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бухгалтерского учета для организаций государственного сектора «Доходы», утвержден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приказом Министерства финансов Российской Федерации от 27.02.2018 № 32н, а также неуплаченные по сроку текущие налоговые платежи, расчеты с дебиторами по авансовым платежам перед поставщиками, нарушение контрагентами сроков исполнения работ (услуг)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контракту.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дебиторская задолженность в сравнении с данными за аналогичный отчетный период прошлого финансового года увеличилась на 921 805,97 тыс. рублей и на 1 января 2024 года составляет 1 825 811,33 тыс. рублей, в том числе:</w:t>
      </w:r>
    </w:p>
    <w:p w:rsidR="00631FB4" w:rsidRDefault="00861D3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078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1116"/>
        <w:gridCol w:w="1116"/>
        <w:gridCol w:w="1582"/>
        <w:gridCol w:w="5991"/>
      </w:tblGrid>
      <w:tr w:rsidR="00631FB4">
        <w:trPr>
          <w:trHeight w:val="270"/>
          <w:jc w:val="center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 сче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</w:t>
            </w:r>
          </w:p>
        </w:tc>
        <w:tc>
          <w:tcPr>
            <w:tcW w:w="43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Суммы просроченной дебиторской задолженности</w:t>
            </w:r>
          </w:p>
        </w:tc>
        <w:tc>
          <w:tcPr>
            <w:tcW w:w="5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Причины возникновения</w:t>
            </w:r>
          </w:p>
        </w:tc>
      </w:tr>
      <w:tr w:rsidR="00631FB4">
        <w:trPr>
          <w:trHeight w:val="270"/>
          <w:jc w:val="center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главным распорядителям средств</w:t>
            </w:r>
          </w:p>
        </w:tc>
        <w:tc>
          <w:tcPr>
            <w:tcW w:w="5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>
            <w:pPr>
              <w:rPr>
                <w:color w:val="000000"/>
                <w:sz w:val="24"/>
              </w:rPr>
            </w:pPr>
          </w:p>
        </w:tc>
      </w:tr>
      <w:tr w:rsidR="00631FB4">
        <w:trPr>
          <w:trHeight w:val="1903"/>
          <w:jc w:val="center"/>
        </w:trPr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Расчеты 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 доходам 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(1 205 00 000)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561 768,34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524 904,08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федеральной налоговой службы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77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75"/>
            </w:tblGrid>
            <w:tr w:rsidR="00631FB4">
              <w:trPr>
                <w:trHeight w:val="882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Несвоевременная уплата текущих платежей по налогам, в связи с чем налоговыми органами Мурманской области применяются меры принудительного взыскания в соответствии с налоговым кодексом Российской Федерации</w:t>
                  </w:r>
                </w:p>
              </w:tc>
            </w:tr>
            <w:tr w:rsidR="00631FB4">
              <w:trPr>
                <w:trHeight w:val="222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31FB4"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31FB4">
              <w:trPr>
                <w:trHeight w:val="439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31FB4">
              <w:trPr>
                <w:trHeight w:val="439"/>
              </w:trPr>
              <w:tc>
                <w:tcPr>
                  <w:tcW w:w="5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31FB4" w:rsidRDefault="00861D39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/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5 651,28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Министерство имущественных отношений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образовалась в связи с несвоевременной оплатой аренды по договорам аренды земельных участков, а также от сдачи в аренду имущества, находящегося в оперативном управлении органов государственной власти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субъекта.</w:t>
            </w:r>
          </w:p>
        </w:tc>
      </w:tr>
      <w:tr w:rsidR="00631FB4">
        <w:trPr>
          <w:trHeight w:val="1187"/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Министерство по региональной безопасности населения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Задолженность образовалась вследствие неоплаты физическими лицами штрафов, установленных КоАП об административных правонарушениях, в срок, предусмотренный правовым основанием ее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возникновения.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trHeight w:val="741"/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31 071,22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Министерство государственного жилищного и строительного надзора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Начисление доходов осуществляется на основании Постановлений об административном правонарушении.</w:t>
            </w:r>
          </w:p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оплаты административного штрафа составляет 60 дней со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дня вступления постановления о наложении административного штрафа в законную силу. (ст.32.2 КоАП). Нарушение сроков оплаты</w:t>
            </w:r>
          </w:p>
        </w:tc>
      </w:tr>
      <w:tr w:rsidR="00631FB4">
        <w:trPr>
          <w:trHeight w:val="741"/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>
            <w:pPr>
              <w:rPr>
                <w:sz w:val="24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Министерство юстиции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образовалась вследствие неоплаты физическими лицами штрафов, установленных КоАП об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административных правонарушениях, в срок, предусмотренный правовым основанием ее возникновения.</w:t>
            </w:r>
          </w:p>
        </w:tc>
      </w:tr>
      <w:tr w:rsidR="00631FB4">
        <w:trPr>
          <w:trHeight w:val="741"/>
          <w:jc w:val="center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Расчеты по выданным авансам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(1 206 00 000)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885 988,18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885 988,18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Министерство строительства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Нарушение подрядными организациями сроков исполнения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контрактов в связи с несвоевременным исполнением подрядчиком своих обязательств по контракту, а также длительного устранения подрядными организациями замечаний к проектной документации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jc w:val="center"/>
        </w:trPr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Расчеты по ущербам и иным доходам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(1 209 00 000)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378 054,80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5 480,92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Министерство экономического развития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 по остаткам субсидий, подлежащих возврату в областной бюджет. Ведется работа с получателями субсидий по досудебному взысканию, затем в судебном порядке.</w:t>
            </w:r>
          </w:p>
        </w:tc>
      </w:tr>
      <w:tr w:rsidR="00631FB4">
        <w:trPr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/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360 880,65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Министерство строительства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 образовалась в связи с тем, что по государственному контракту № 2 от 27.01.2021г с АО «СПГ» на выполнение работ по инженерным изысканиям, подготовке проектной документации и строительству объекта: «Ш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кола по переулку Казарменному в городе Мурманске» ГОКУ «УКС» 17.11.2023 было принято решение об одностороннем отказе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исполнения государственного контракта № 2 от 27.01.2021. 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28.11.2023 решение вступило в силу, контракт расторгнут. 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настоящее время 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 «УКС» обратилось в арбитражный суд о взыскании с АО «СПГ» части неотработанного аванса.</w:t>
            </w:r>
          </w:p>
        </w:tc>
      </w:tr>
      <w:tr w:rsidR="00631FB4">
        <w:trPr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/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8 387,26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Министерство имущественных отношений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left="40" w:hanging="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Задолженность по договорам аренды, а также пени, рассчитанные за несвоевременную оплату и не оплаченные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контрагентами</w:t>
            </w:r>
          </w:p>
        </w:tc>
      </w:tr>
      <w:tr w:rsidR="00631FB4">
        <w:trPr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/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558,44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Министерство по региональной безопасности населения МО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 возможности взыскания средств с должников, ведутся исполнительные производства</w:t>
            </w:r>
          </w:p>
        </w:tc>
      </w:tr>
      <w:tr w:rsidR="00631FB4">
        <w:trPr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631FB4"/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1 667,53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Министерство труда и социального развития Мурманской области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суммы просроченной задолженности по сравнению с предыдущим периодом произошло по причине длительности розыска граждан и их наследников и процесса судопроизводства, а также не возврата гражданами сумм переплат по судебным решениям. Проводятся мероприятия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взысканию, не закончено исполнительное производство, производится розыск наследников после смерти гражданина.</w:t>
            </w:r>
          </w:p>
        </w:tc>
      </w:tr>
      <w:tr w:rsidR="00631FB4">
        <w:trPr>
          <w:trHeight w:val="961"/>
          <w:jc w:val="center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1 080,0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5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по возврату единовременной компенсационной выплаты учителю,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прибывшему (переехавшему) на работу в сельские населенные пункты, либо рабочие поселки, либо поселки городского типа, либо города с населением до 50 тысяч человек. Срок уплаты истек 09.10.2023. Ведется претензионная работа</w:t>
            </w:r>
          </w:p>
        </w:tc>
      </w:tr>
    </w:tbl>
    <w:p w:rsidR="00631FB4" w:rsidRDefault="00861D39">
      <w:pPr>
        <w:spacing w:line="360" w:lineRule="atLeast"/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spacing w:line="360" w:lineRule="atLeast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Сведений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дебиторской задолженности в разрезе прочих администраторов доходов областного бюджета</w:t>
      </w:r>
    </w:p>
    <w:p w:rsidR="00631FB4" w:rsidRDefault="00861D39">
      <w:pPr>
        <w:ind w:firstLine="560"/>
        <w:jc w:val="right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</w:rPr>
        <w:t>тыс. рублей</w:t>
      </w:r>
    </w:p>
    <w:tbl>
      <w:tblPr>
        <w:tblW w:w="1074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1552"/>
        <w:gridCol w:w="1283"/>
        <w:gridCol w:w="1426"/>
        <w:gridCol w:w="1554"/>
        <w:gridCol w:w="1266"/>
        <w:gridCol w:w="1426"/>
        <w:gridCol w:w="1555"/>
      </w:tblGrid>
      <w:tr w:rsidR="00631FB4">
        <w:trPr>
          <w:trHeight w:val="1575"/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1 205 00 000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1 205 11 000     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Расчеты с плательщиками налоговых    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доходов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1 205 45 000 Расчеты с плательщиками сумм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принудительного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изъятия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1 205 00 000</w:t>
            </w:r>
          </w:p>
        </w:tc>
        <w:tc>
          <w:tcPr>
            <w:tcW w:w="1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1 205 11 000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Расчеты с плательщиками налоговых    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доходов</w:t>
            </w:r>
          </w:p>
        </w:tc>
        <w:tc>
          <w:tcPr>
            <w:tcW w:w="15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1 205 45 000 Расчеты с плательщиками сумм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принудительного изъятия</w:t>
            </w:r>
          </w:p>
        </w:tc>
      </w:tr>
      <w:tr w:rsidR="00631FB4">
        <w:trPr>
          <w:trHeight w:val="690"/>
          <w:jc w:val="center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на 01.01.2023 года</w:t>
            </w:r>
          </w:p>
        </w:tc>
        <w:tc>
          <w:tcPr>
            <w:tcW w:w="424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на 01.01.2024 года </w:t>
            </w:r>
          </w:p>
        </w:tc>
      </w:tr>
      <w:tr w:rsidR="00631FB4">
        <w:trPr>
          <w:trHeight w:val="1260"/>
          <w:jc w:val="center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федеральной налоговой службы по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области</w:t>
            </w:r>
          </w:p>
        </w:tc>
        <w:tc>
          <w:tcPr>
            <w:tcW w:w="13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1 239 768,12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1 239 648,76</w:t>
            </w:r>
          </w:p>
        </w:tc>
        <w:tc>
          <w:tcPr>
            <w:tcW w:w="1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119,36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5 086 433,07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5 086 313,71</w:t>
            </w:r>
          </w:p>
        </w:tc>
        <w:tc>
          <w:tcPr>
            <w:tcW w:w="15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119,36</w:t>
            </w:r>
          </w:p>
        </w:tc>
      </w:tr>
      <w:tr w:rsidR="00631FB4">
        <w:trPr>
          <w:trHeight w:val="885"/>
          <w:jc w:val="center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г. Кировска</w:t>
            </w:r>
          </w:p>
        </w:tc>
        <w:tc>
          <w:tcPr>
            <w:tcW w:w="13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25,50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25,50</w:t>
            </w:r>
          </w:p>
        </w:tc>
      </w:tr>
      <w:tr w:rsidR="00631FB4">
        <w:trPr>
          <w:trHeight w:val="1290"/>
          <w:jc w:val="center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муниципального образования Кандалакшский район</w:t>
            </w:r>
          </w:p>
        </w:tc>
        <w:tc>
          <w:tcPr>
            <w:tcW w:w="13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531,63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531,63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31FB4">
        <w:trPr>
          <w:trHeight w:val="480"/>
          <w:jc w:val="center"/>
        </w:trPr>
        <w:tc>
          <w:tcPr>
            <w:tcW w:w="23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1 240 299,75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1 239 648,76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651,1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5 086 458,57</w:t>
            </w:r>
          </w:p>
        </w:tc>
        <w:tc>
          <w:tcPr>
            <w:tcW w:w="1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5 086 313,71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144,86</w:t>
            </w:r>
          </w:p>
        </w:tc>
      </w:tr>
    </w:tbl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Динамика и структура кредиторской 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областного бюджета Мурманской области по состоянию на 1 января 2024 представлены в таблице:</w:t>
      </w:r>
    </w:p>
    <w:p w:rsidR="00631FB4" w:rsidRDefault="00861D39">
      <w:pPr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тыс. рублей.</w:t>
      </w:r>
    </w:p>
    <w:tbl>
      <w:tblPr>
        <w:tblW w:w="10680" w:type="dxa"/>
        <w:tblInd w:w="-31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1494"/>
        <w:gridCol w:w="1494"/>
        <w:gridCol w:w="1533"/>
        <w:gridCol w:w="1494"/>
        <w:gridCol w:w="1494"/>
        <w:gridCol w:w="1494"/>
      </w:tblGrid>
      <w:tr w:rsidR="00631FB4">
        <w:tc>
          <w:tcPr>
            <w:tcW w:w="16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01.01.2023 г</w:t>
            </w:r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ind w:firstLine="56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01.01.2024 г.</w:t>
            </w:r>
          </w:p>
        </w:tc>
        <w:tc>
          <w:tcPr>
            <w:tcW w:w="2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Задолженность на 01.01.2024 г. к 01.01.2023 г. (+, -)</w:t>
            </w:r>
          </w:p>
        </w:tc>
      </w:tr>
      <w:tr w:rsidR="00631FB4">
        <w:trPr>
          <w:trHeight w:val="906"/>
        </w:trPr>
        <w:tc>
          <w:tcPr>
            <w:tcW w:w="16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Кредиторская задолженность</w:t>
            </w:r>
          </w:p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 просроченная задолженность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</w:t>
            </w:r>
          </w:p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доходам</w:t>
            </w:r>
          </w:p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(1 205 00 000)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23 682 225,34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2 760 105,77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-20 922 119,57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(1 208 00 000)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67,40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+47,64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 иным доходам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(1 209 00 000)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767,94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34,76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-733,18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принятым обязательствам (1 302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3 068 885,84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6 786 331,89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+3 717 446,05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платежам в бюджеты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(1 303 00 000)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28 513,63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724 174,49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left="-100" w:firstLine="7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+695 660,86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расчеты с кредиторами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(1 304 00 000)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66,04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52,30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-13,74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26 780 478,55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10 270 766,61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-16 519 711,94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будущих периодов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(1 401 40 000)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32 318 484,68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35 656 639,28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+3 338 154,60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Резервы предстоящих расходов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(1 401 60 000)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782 244,22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951 976,45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+169 732,23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ind w:firstLine="5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31FB4" w:rsidRDefault="00861D39">
      <w:pPr>
        <w:ind w:firstLine="540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Общая сумма кредиторской задолженности уменьшилась на 16 519 711,94 тыс. рублей и по состоянию на 1 января 2024 года составила 10 270 766,61 тыс. рублей.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значительное уменьшение произошло по счетам: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- 1 205 11 «Расчеты с плательщиками налогов»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сумму 20 903 550,91 тыс. рублей – задолженность по налоговым доходам, которые администрирует Управление Федеральной налоговой службы по Мурманской области.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привлеченных средств на единый счет областного бюджета, подлежащий возврату на казначейские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чета для осуществления и отражения операций с денежными средствами, поступающими во временное распоряжение получателей средств бюджета Мурманской области; для осуществления и отражения операций с денежными средствами бюджетных и автономных учреждений, откр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ытых финансовому органу Мурманской области, по состоянию на 01.01.2024 года по счету 1 302 75 000 составляет 6 770 177,84 руб.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кредиторская задолженность областного бюджета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 января 2024 года отсутствует. 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Сведений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кредиторской задолженности в разрезе прочих администраторов доходов областного бюджета</w:t>
      </w:r>
    </w:p>
    <w:p w:rsidR="00631FB4" w:rsidRDefault="00861D39">
      <w:pPr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тыс. рублей</w:t>
      </w:r>
    </w:p>
    <w:tbl>
      <w:tblPr>
        <w:tblW w:w="1119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453"/>
        <w:gridCol w:w="1397"/>
        <w:gridCol w:w="1394"/>
        <w:gridCol w:w="1396"/>
        <w:gridCol w:w="1090"/>
        <w:gridCol w:w="1027"/>
        <w:gridCol w:w="848"/>
        <w:gridCol w:w="1029"/>
      </w:tblGrid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ind w:firstLine="1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 счета</w:t>
            </w:r>
          </w:p>
        </w:tc>
        <w:tc>
          <w:tcPr>
            <w:tcW w:w="2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(код адм. 182)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федеральной налоговой службы по Мурманской области</w:t>
            </w:r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(код адм. 002)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г. Кировска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подведомственной территорией</w:t>
            </w:r>
          </w:p>
        </w:tc>
        <w:tc>
          <w:tcPr>
            <w:tcW w:w="1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(код адм. 002)</w:t>
            </w:r>
          </w:p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муниципального образования Кандалакшский район</w:t>
            </w:r>
          </w:p>
        </w:tc>
      </w:tr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01.01.2023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01.01.2024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01.01.2023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01.01.2023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</w:p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01.01.2024</w:t>
            </w:r>
          </w:p>
        </w:tc>
      </w:tr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120500000 (расчеты по доходам)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23 652 368,24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2 748 808,02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23 652 332,91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2 748 802,99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34,33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ind w:right="28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120511000 (Расчеты с плательщиками налогов)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23 651 063,93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2 747 513,02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23 651 063,93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2 747 513,02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ind w:right="28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120512000 (Расчеты с плательщиками государственных пошлин, сборов)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307,20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304,20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307,20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304,2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ind w:right="28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120545000 (Расчеты по доходам от прочих сумм принудительного изъятия)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997,11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987,79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966,78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982,76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34,33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ind w:right="28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31FB4">
        <w:trPr>
          <w:jc w:val="center"/>
        </w:trPr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будущих периодов</w:t>
            </w:r>
          </w:p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(1 401 40 000)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373 873,34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4 560 566,62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373 873,34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4 560 566,62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1FB4" w:rsidRDefault="00861D39">
            <w:pPr>
              <w:spacing w:after="120"/>
              <w:ind w:right="28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31FB4" w:rsidRDefault="00861D39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Сведения о государственном (муниципальном) долге </w:t>
      </w:r>
      <w:hyperlink r:id="rId17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0503172</w:t>
        </w:r>
      </w:hyperlink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) (далее - Сведения ф. 0503172)</w:t>
      </w:r>
    </w:p>
    <w:p w:rsidR="00631FB4" w:rsidRDefault="00861D39">
      <w:pPr>
        <w:ind w:firstLine="56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Государственный долг Мурманск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1 января 2024 года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22 330 252.91 тыс. рублей, который состоит из задолженности: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по бюджетным кредитам перед федеральным бюджетом 16 430 252.91тыс. рублей (балансовый счет 1 301 11 000 «Расчеты с бюджетами бюджетной системы РФ по привлече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 бюджетным кредитам»);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кредитам кредитных организаций 4 300 000 тыс. рублей (балансовый счет 1 301 13 000 «Расчеты с иными кредиторами по государственному (муниципальному) долгу»).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предоставленным государственным гарантиям Мурманской области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1 600 000 000 тыс. рублей.</w:t>
      </w:r>
    </w:p>
    <w:p w:rsidR="00631FB4" w:rsidRDefault="00861D39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году государственный долг Мурманской области увеличился на 2 045 311,59 тыс. рублей за счет полученных кредитов от кредитных организаций и за счет увеличения объема государственных гарантий Мурманской области. </w:t>
      </w:r>
    </w:p>
    <w:p w:rsidR="00631FB4" w:rsidRDefault="00861D39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Све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дениях ф.0503172 не отражен остаток по счету 1 207 44 000 "Расчеты по иным долговым требованиям (займам (ссудам)"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соответсвии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hyperlink r:id="rId18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п. 169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Инструкции № 191н в ф. 0503172  в графах 1, 2, 3 </w:t>
      </w:r>
      <w:hyperlink r:id="rId19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Разделов 1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hyperlink r:id="rId20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2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Приложения указываются номера соответствующих аналитических счетов счета 020700000 «Расчеты по кредитам, займам (ссудам)" (за исключением счета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020744000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«Расчеты по иным долговым требованиям.</w:t>
      </w:r>
    </w:p>
    <w:p w:rsidR="00631FB4" w:rsidRDefault="00861D39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Сведения о доходах бюджет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 (далее Сведения ф. 0503174)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задолженности ГОУСП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Тулома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по перечислению в доход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части прибыли, оставшейся после уплаты налогов и иных обязательных платежей государственными (муниципальными) унитарными предприятиями, на 01.01.2023 года составила 4 512,04 тыс. рублей.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Сведения о принятых и неисполненных обязательствах (ф.050317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5)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Основными причинами неисполнения бюджетных обязательств являются несвоевременное представление исполнителями работ и услуг документов по расчетам, неисполнение контрагентами обязательств по контрактам (договорам) о поставке товаров, выполнении работ,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оказании услуг, а также перечисление субсидий на иные цели по фактической потребности.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Сведения об остатках денежных средств на счетах получателей   </w:t>
      </w:r>
    </w:p>
    <w:p w:rsidR="00631FB4" w:rsidRDefault="00861D39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бюджетных средств (ф. 0503178)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конец отчетного периода остатки средств на счетах в органе Федерального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казначейства во временном распоряжении   увеличились и составили 72 709,77 тыс. рублей. 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Денежные средства на счетах в кредитных организациях у администраторов средств областного бюджета отсутствуют.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Сведения о вложениях в объекты недвижимого имущества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, объектах незавершенного строительства </w:t>
      </w:r>
      <w:hyperlink r:id="rId21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>(ф. 0503190)</w:t>
        </w:r>
      </w:hyperlink>
      <w:hyperlink r:id="rId22">
        <w:r>
          <w:rPr>
            <w:rStyle w:val="a4"/>
            <w:rFonts w:ascii="Calibri" w:eastAsia="Calibri" w:hAnsi="Calibri" w:cs="Calibri"/>
            <w:b/>
            <w:i/>
            <w:color w:val="000000"/>
            <w:sz w:val="28"/>
            <w:szCs w:val="28"/>
            <w:u w:val="none"/>
          </w:rPr>
          <w:t xml:space="preserve"> (далее – Сведения (ф. 0503190</w:t>
        </w:r>
      </w:hyperlink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)</w:t>
      </w:r>
    </w:p>
    <w:p w:rsidR="00631FB4" w:rsidRDefault="00861D39">
      <w:pPr>
        <w:spacing w:line="276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Сведениях ф. 00503190 раскрывается информация об имеющихся на отчетную дату объектах незавершенного строительства, а также о сформированных на отчетную дату вложениях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объекты недвижимого имущества, источником финансового обеспечения которых являлись средства бюджета субъекта РФ.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строки 600 «Итого» Сведений ф. 0503190, сформированные в графах 17 «Фактические расходы на начало года» и 20 «Фактические 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конец года» соответствуют показателям строки 071 графам 4, 11 раздела 1 «Нефинансовые активы» Сведений о движении нефинансовых активов (ф. 0503168).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</w:t>
      </w:r>
    </w:p>
    <w:p w:rsidR="00631FB4" w:rsidRDefault="00861D39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 Прочие вопросы деятельности субъекта бюджетной отчетности.</w:t>
      </w:r>
    </w:p>
    <w:p w:rsidR="00631FB4" w:rsidRDefault="00861D39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составе раздела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следующие формы:</w:t>
      </w:r>
    </w:p>
    <w:p w:rsidR="00631FB4" w:rsidRDefault="00861D39">
      <w:pPr>
        <w:ind w:firstLine="540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проведении инвентаризаций </w:t>
      </w:r>
      <w:hyperlink r:id="rId23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(Таблица № 6)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31FB4" w:rsidRDefault="00861D39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судебных решений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денежным обязательствам бюджета </w:t>
      </w:r>
      <w:hyperlink r:id="rId24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</w:rPr>
          <w:t>(ф. 0503296)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об использовании средств Резервног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фонда Мурманской области;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об использовании бюджетных ассигнований Дорожного фонда Мурманской области;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об использовании бюджетных ассигнований резервного фонда Правительства Мурманской области;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предоставлении и погашении бюджетных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кредитов юридическими лицами;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предоставлении и погашении бюджетных кредитов муниципальными образованиями;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представленных государственных гарантиях;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внутренних заимствованиях Мурманской области по видам заимствований;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 состоя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внутреннего долга Мурманской области на первый и последний день отчетного года.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Перечень форм бюджетной отчетности не имеющих числовых значений: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исполнении мероприятий в рамках целевых программ (ф.0503166);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целевых иностранных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кредитах (ф.0503167);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 об изменении остатков валюты баланса (средства во временном распоряжении) (ф.0503173СВ);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Сведения об остатках денежных средств на счетах получателя бюджетных средств (</w:t>
      </w:r>
      <w:hyperlink r:id="rId25" w:anchor="block_503178">
        <w:r>
          <w:rPr>
            <w:rStyle w:val="a4"/>
            <w:rFonts w:ascii="Calibri" w:eastAsia="Calibri" w:hAnsi="Calibri" w:cs="Calibri"/>
            <w:color w:val="000000"/>
            <w:sz w:val="28"/>
            <w:szCs w:val="28"/>
            <w:u w:val="none"/>
            <w:shd w:val="clear" w:color="auto" w:fill="FFFFFF"/>
          </w:rPr>
          <w:t>ф. 0503178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по банковским счетам, открытым в кредитных организациях. 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по консолидируемым расчетам (ф. 0503125) по счетам:</w:t>
      </w:r>
    </w:p>
    <w:p w:rsidR="00631FB4" w:rsidRDefault="00861D39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1 205 61 000, 1 206 51 000, 1 206 61 000, 1 206 61 561, 1 206 61 661, 1 207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21 000, 1 207 21 541, 1 207 21 641,  1 207 31 000, 1 207 31 541, 1 207 31 641, 1 301 12 000, 1 301 12 710,  1 301 12 810, 1 301 13 000, 1 301 13 710, 1 301 13 810, 1 302 51 000,  1 401 10 189, 1 401 20 261.</w:t>
      </w:r>
    </w:p>
    <w:tbl>
      <w:tblPr>
        <w:tblW w:w="939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80"/>
      </w:tblGrid>
      <w:tr w:rsidR="00631FB4"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Default="00861D3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31FB4" w:rsidRDefault="00861D39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631FB4" w:rsidRDefault="00861D39">
      <w:r>
        <w:t> </w:t>
      </w:r>
    </w:p>
    <w:p w:rsidR="00631FB4" w:rsidRDefault="00861D3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631FB4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М.А.Селезнев</w:t>
            </w:r>
            <w:proofErr w:type="spellEnd"/>
          </w:p>
        </w:tc>
      </w:tr>
      <w:tr w:rsidR="00631FB4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Pr="00861D39" w:rsidRDefault="00631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FB4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31FB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 w:rsidP="008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61D39">
              <w:rPr>
                <w:rFonts w:ascii="Times New Roman" w:hAnsi="Times New Roman" w:cs="Times New Roman"/>
                <w:sz w:val="24"/>
                <w:szCs w:val="24"/>
              </w:rPr>
              <w:t>Шеметова Н. Г</w:t>
            </w:r>
          </w:p>
        </w:tc>
      </w:tr>
      <w:tr w:rsidR="00631FB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FB4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Pr="00861D39" w:rsidRDefault="00631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FB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31FB4" w:rsidRPr="00861D39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Шеметова Н. Г.</w:t>
            </w:r>
          </w:p>
        </w:tc>
      </w:tr>
      <w:tr w:rsidR="00631FB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FB4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861D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D39">
              <w:rPr>
                <w:rFonts w:ascii="Times New Roman" w:eastAsia="Times New Roman" w:hAnsi="Times New Roman" w:cs="Times New Roman"/>
                <w:sz w:val="24"/>
                <w:szCs w:val="24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FB4" w:rsidRPr="00861D39" w:rsidRDefault="00631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1FB4" w:rsidRDefault="00631FB4" w:rsidP="00861D39">
      <w:bookmarkStart w:id="0" w:name="_GoBack"/>
      <w:bookmarkEnd w:id="0"/>
    </w:p>
    <w:sectPr w:rsidR="00631FB4" w:rsidSect="00861D39">
      <w:pgSz w:w="12240" w:h="15840"/>
      <w:pgMar w:top="850" w:right="1133" w:bottom="1700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5FF0C"/>
    <w:multiLevelType w:val="hybridMultilevel"/>
    <w:tmpl w:val="59044418"/>
    <w:lvl w:ilvl="0" w:tplc="0EA28EE7">
      <w:start w:val="3"/>
      <w:numFmt w:val="decimal"/>
      <w:lvlText w:val="%1."/>
      <w:lvlJc w:val="left"/>
      <w:pPr>
        <w:ind w:left="720" w:hanging="360"/>
      </w:pPr>
    </w:lvl>
    <w:lvl w:ilvl="1" w:tplc="7D7DDD65">
      <w:start w:val="1"/>
      <w:numFmt w:val="decimal"/>
      <w:lvlText w:val="%2."/>
      <w:lvlJc w:val="left"/>
      <w:pPr>
        <w:ind w:left="1440" w:hanging="360"/>
      </w:pPr>
    </w:lvl>
    <w:lvl w:ilvl="2" w:tplc="332CB5B3">
      <w:start w:val="1"/>
      <w:numFmt w:val="decimal"/>
      <w:lvlText w:val="%3."/>
      <w:lvlJc w:val="left"/>
      <w:pPr>
        <w:ind w:left="2160" w:hanging="360"/>
      </w:pPr>
    </w:lvl>
    <w:lvl w:ilvl="3" w:tplc="66918FA1">
      <w:start w:val="1"/>
      <w:numFmt w:val="decimal"/>
      <w:lvlText w:val="%4."/>
      <w:lvlJc w:val="left"/>
      <w:pPr>
        <w:ind w:left="2880" w:hanging="360"/>
      </w:pPr>
    </w:lvl>
    <w:lvl w:ilvl="4" w:tplc="5A9A7393">
      <w:start w:val="1"/>
      <w:numFmt w:val="decimal"/>
      <w:lvlText w:val="%5."/>
      <w:lvlJc w:val="left"/>
      <w:pPr>
        <w:ind w:left="3600" w:hanging="360"/>
      </w:pPr>
    </w:lvl>
    <w:lvl w:ilvl="5" w:tplc="4F8495C2">
      <w:start w:val="1"/>
      <w:numFmt w:val="decimal"/>
      <w:lvlText w:val="%6."/>
      <w:lvlJc w:val="left"/>
      <w:pPr>
        <w:ind w:left="4320" w:hanging="360"/>
      </w:pPr>
    </w:lvl>
    <w:lvl w:ilvl="6" w:tplc="256C5933">
      <w:start w:val="1"/>
      <w:numFmt w:val="decimal"/>
      <w:lvlText w:val="%7."/>
      <w:lvlJc w:val="left"/>
      <w:pPr>
        <w:ind w:left="5040" w:hanging="360"/>
      </w:pPr>
    </w:lvl>
    <w:lvl w:ilvl="7" w:tplc="3D866578">
      <w:start w:val="1"/>
      <w:numFmt w:val="decimal"/>
      <w:lvlText w:val="%8."/>
      <w:lvlJc w:val="left"/>
      <w:pPr>
        <w:ind w:left="5760" w:hanging="360"/>
      </w:pPr>
    </w:lvl>
    <w:lvl w:ilvl="8" w:tplc="018019C3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105D307E"/>
    <w:multiLevelType w:val="hybridMultilevel"/>
    <w:tmpl w:val="01627764"/>
    <w:lvl w:ilvl="0" w:tplc="7E19C366">
      <w:start w:val="1"/>
      <w:numFmt w:val="decimal"/>
      <w:lvlText w:val="%1."/>
      <w:lvlJc w:val="left"/>
      <w:pPr>
        <w:ind w:left="720" w:hanging="360"/>
      </w:pPr>
    </w:lvl>
    <w:lvl w:ilvl="1" w:tplc="333AF637">
      <w:start w:val="2"/>
      <w:numFmt w:val="decimal"/>
      <w:lvlText w:val="%2."/>
      <w:lvlJc w:val="left"/>
      <w:pPr>
        <w:ind w:left="1440" w:hanging="360"/>
      </w:pPr>
    </w:lvl>
    <w:lvl w:ilvl="2" w:tplc="611E72BB">
      <w:start w:val="1"/>
      <w:numFmt w:val="decimal"/>
      <w:lvlText w:val="%3."/>
      <w:lvlJc w:val="left"/>
      <w:pPr>
        <w:ind w:left="2160" w:hanging="360"/>
      </w:pPr>
    </w:lvl>
    <w:lvl w:ilvl="3" w:tplc="0B4EA412">
      <w:start w:val="1"/>
      <w:numFmt w:val="decimal"/>
      <w:lvlText w:val="%4."/>
      <w:lvlJc w:val="left"/>
      <w:pPr>
        <w:ind w:left="2880" w:hanging="360"/>
      </w:pPr>
    </w:lvl>
    <w:lvl w:ilvl="4" w:tplc="483E7C89">
      <w:start w:val="1"/>
      <w:numFmt w:val="decimal"/>
      <w:lvlText w:val="%5."/>
      <w:lvlJc w:val="left"/>
      <w:pPr>
        <w:ind w:left="3600" w:hanging="360"/>
      </w:pPr>
    </w:lvl>
    <w:lvl w:ilvl="5" w:tplc="63ED99F6">
      <w:start w:val="1"/>
      <w:numFmt w:val="decimal"/>
      <w:lvlText w:val="%6."/>
      <w:lvlJc w:val="left"/>
      <w:pPr>
        <w:ind w:left="4320" w:hanging="360"/>
      </w:pPr>
    </w:lvl>
    <w:lvl w:ilvl="6" w:tplc="73768BDC">
      <w:start w:val="1"/>
      <w:numFmt w:val="decimal"/>
      <w:lvlText w:val="%7."/>
      <w:lvlJc w:val="left"/>
      <w:pPr>
        <w:ind w:left="5040" w:hanging="360"/>
      </w:pPr>
    </w:lvl>
    <w:lvl w:ilvl="7" w:tplc="28195572">
      <w:start w:val="1"/>
      <w:numFmt w:val="decimal"/>
      <w:lvlText w:val="%8."/>
      <w:lvlJc w:val="left"/>
      <w:pPr>
        <w:ind w:left="5760" w:hanging="360"/>
      </w:pPr>
    </w:lvl>
    <w:lvl w:ilvl="8" w:tplc="66F93BFC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1DC8FB82"/>
    <w:multiLevelType w:val="hybridMultilevel"/>
    <w:tmpl w:val="D29A080C"/>
    <w:lvl w:ilvl="0" w:tplc="54DE0C4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2438B33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F4BDDA6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AAF62B2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CE4101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B145DC9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1C70F5F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B9CB30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15D4065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2470AD3A"/>
    <w:multiLevelType w:val="hybridMultilevel"/>
    <w:tmpl w:val="1C8EC010"/>
    <w:lvl w:ilvl="0" w:tplc="2428D44F">
      <w:start w:val="4"/>
      <w:numFmt w:val="decimal"/>
      <w:lvlText w:val="%1."/>
      <w:lvlJc w:val="left"/>
      <w:pPr>
        <w:ind w:left="720" w:hanging="360"/>
      </w:pPr>
    </w:lvl>
    <w:lvl w:ilvl="1" w:tplc="6ABBFD7D">
      <w:start w:val="1"/>
      <w:numFmt w:val="decimal"/>
      <w:lvlText w:val="%2."/>
      <w:lvlJc w:val="left"/>
      <w:pPr>
        <w:ind w:left="1440" w:hanging="360"/>
      </w:pPr>
    </w:lvl>
    <w:lvl w:ilvl="2" w:tplc="26FF9FA4">
      <w:start w:val="1"/>
      <w:numFmt w:val="decimal"/>
      <w:lvlText w:val="%3."/>
      <w:lvlJc w:val="left"/>
      <w:pPr>
        <w:ind w:left="2160" w:hanging="360"/>
      </w:pPr>
    </w:lvl>
    <w:lvl w:ilvl="3" w:tplc="443D29BD">
      <w:start w:val="1"/>
      <w:numFmt w:val="decimal"/>
      <w:lvlText w:val="%4."/>
      <w:lvlJc w:val="left"/>
      <w:pPr>
        <w:ind w:left="2880" w:hanging="360"/>
      </w:pPr>
    </w:lvl>
    <w:lvl w:ilvl="4" w:tplc="7FF4F2C3">
      <w:start w:val="1"/>
      <w:numFmt w:val="decimal"/>
      <w:lvlText w:val="%5."/>
      <w:lvlJc w:val="left"/>
      <w:pPr>
        <w:ind w:left="3600" w:hanging="360"/>
      </w:pPr>
    </w:lvl>
    <w:lvl w:ilvl="5" w:tplc="08FDF472">
      <w:start w:val="1"/>
      <w:numFmt w:val="decimal"/>
      <w:lvlText w:val="%6."/>
      <w:lvlJc w:val="left"/>
      <w:pPr>
        <w:ind w:left="4320" w:hanging="360"/>
      </w:pPr>
    </w:lvl>
    <w:lvl w:ilvl="6" w:tplc="280E897D">
      <w:start w:val="1"/>
      <w:numFmt w:val="decimal"/>
      <w:lvlText w:val="%7."/>
      <w:lvlJc w:val="left"/>
      <w:pPr>
        <w:ind w:left="5040" w:hanging="360"/>
      </w:pPr>
    </w:lvl>
    <w:lvl w:ilvl="7" w:tplc="44CDB8C0">
      <w:start w:val="1"/>
      <w:numFmt w:val="decimal"/>
      <w:lvlText w:val="%8."/>
      <w:lvlJc w:val="left"/>
      <w:pPr>
        <w:ind w:left="5760" w:hanging="360"/>
      </w:pPr>
    </w:lvl>
    <w:lvl w:ilvl="8" w:tplc="4448A9FE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4CD43C64"/>
    <w:multiLevelType w:val="hybridMultilevel"/>
    <w:tmpl w:val="04C44EC2"/>
    <w:lvl w:ilvl="0" w:tplc="5FDEBD47">
      <w:start w:val="1"/>
      <w:numFmt w:val="decimal"/>
      <w:lvlText w:val="%1."/>
      <w:lvlJc w:val="left"/>
      <w:pPr>
        <w:ind w:left="720" w:hanging="360"/>
      </w:pPr>
    </w:lvl>
    <w:lvl w:ilvl="1" w:tplc="69D07281">
      <w:start w:val="1"/>
      <w:numFmt w:val="decimal"/>
      <w:lvlText w:val="%2."/>
      <w:lvlJc w:val="left"/>
      <w:pPr>
        <w:ind w:left="1440" w:hanging="360"/>
      </w:pPr>
    </w:lvl>
    <w:lvl w:ilvl="2" w:tplc="73F542B4">
      <w:start w:val="1"/>
      <w:numFmt w:val="decimal"/>
      <w:lvlText w:val="%3."/>
      <w:lvlJc w:val="left"/>
      <w:pPr>
        <w:ind w:left="2160" w:hanging="360"/>
      </w:pPr>
    </w:lvl>
    <w:lvl w:ilvl="3" w:tplc="35C98990">
      <w:start w:val="1"/>
      <w:numFmt w:val="decimal"/>
      <w:lvlText w:val="%4."/>
      <w:lvlJc w:val="left"/>
      <w:pPr>
        <w:ind w:left="2880" w:hanging="360"/>
      </w:pPr>
    </w:lvl>
    <w:lvl w:ilvl="4" w:tplc="5B4F60BF">
      <w:start w:val="1"/>
      <w:numFmt w:val="decimal"/>
      <w:lvlText w:val="%5."/>
      <w:lvlJc w:val="left"/>
      <w:pPr>
        <w:ind w:left="3600" w:hanging="360"/>
      </w:pPr>
    </w:lvl>
    <w:lvl w:ilvl="5" w:tplc="1E7193C6">
      <w:start w:val="1"/>
      <w:numFmt w:val="decimal"/>
      <w:lvlText w:val="%6."/>
      <w:lvlJc w:val="left"/>
      <w:pPr>
        <w:ind w:left="4320" w:hanging="360"/>
      </w:pPr>
    </w:lvl>
    <w:lvl w:ilvl="6" w:tplc="7FE628F9">
      <w:start w:val="1"/>
      <w:numFmt w:val="decimal"/>
      <w:lvlText w:val="%7."/>
      <w:lvlJc w:val="left"/>
      <w:pPr>
        <w:ind w:left="5040" w:hanging="360"/>
      </w:pPr>
    </w:lvl>
    <w:lvl w:ilvl="7" w:tplc="0EEE73FD">
      <w:start w:val="1"/>
      <w:numFmt w:val="decimal"/>
      <w:lvlText w:val="%8."/>
      <w:lvlJc w:val="left"/>
      <w:pPr>
        <w:ind w:left="5760" w:hanging="360"/>
      </w:pPr>
    </w:lvl>
    <w:lvl w:ilvl="8" w:tplc="7FBA716B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794D2D97"/>
    <w:multiLevelType w:val="hybridMultilevel"/>
    <w:tmpl w:val="15F6C8BC"/>
    <w:lvl w:ilvl="0" w:tplc="2183A55E">
      <w:start w:val="2"/>
      <w:numFmt w:val="decimal"/>
      <w:lvlText w:val="%1."/>
      <w:lvlJc w:val="left"/>
      <w:pPr>
        <w:ind w:left="720" w:hanging="360"/>
      </w:pPr>
    </w:lvl>
    <w:lvl w:ilvl="1" w:tplc="3FBAEC09">
      <w:start w:val="1"/>
      <w:numFmt w:val="decimal"/>
      <w:lvlText w:val="%2."/>
      <w:lvlJc w:val="left"/>
      <w:pPr>
        <w:ind w:left="1440" w:hanging="360"/>
      </w:pPr>
    </w:lvl>
    <w:lvl w:ilvl="2" w:tplc="4A06C7F2">
      <w:start w:val="1"/>
      <w:numFmt w:val="decimal"/>
      <w:lvlText w:val="%3."/>
      <w:lvlJc w:val="left"/>
      <w:pPr>
        <w:ind w:left="2160" w:hanging="360"/>
      </w:pPr>
    </w:lvl>
    <w:lvl w:ilvl="3" w:tplc="5F4689EC">
      <w:start w:val="1"/>
      <w:numFmt w:val="decimal"/>
      <w:lvlText w:val="%4."/>
      <w:lvlJc w:val="left"/>
      <w:pPr>
        <w:ind w:left="2880" w:hanging="360"/>
      </w:pPr>
    </w:lvl>
    <w:lvl w:ilvl="4" w:tplc="48EDC055">
      <w:start w:val="1"/>
      <w:numFmt w:val="decimal"/>
      <w:lvlText w:val="%5."/>
      <w:lvlJc w:val="left"/>
      <w:pPr>
        <w:ind w:left="3600" w:hanging="360"/>
      </w:pPr>
    </w:lvl>
    <w:lvl w:ilvl="5" w:tplc="5E3160AB">
      <w:start w:val="1"/>
      <w:numFmt w:val="decimal"/>
      <w:lvlText w:val="%6."/>
      <w:lvlJc w:val="left"/>
      <w:pPr>
        <w:ind w:left="4320" w:hanging="360"/>
      </w:pPr>
    </w:lvl>
    <w:lvl w:ilvl="6" w:tplc="108749A3">
      <w:start w:val="1"/>
      <w:numFmt w:val="decimal"/>
      <w:lvlText w:val="%7."/>
      <w:lvlJc w:val="left"/>
      <w:pPr>
        <w:ind w:left="5040" w:hanging="360"/>
      </w:pPr>
    </w:lvl>
    <w:lvl w:ilvl="7" w:tplc="1E653DB2">
      <w:start w:val="1"/>
      <w:numFmt w:val="decimal"/>
      <w:lvlText w:val="%8."/>
      <w:lvlJc w:val="left"/>
      <w:pPr>
        <w:ind w:left="5760" w:hanging="360"/>
      </w:pPr>
    </w:lvl>
    <w:lvl w:ilvl="8" w:tplc="4356629A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B4"/>
    <w:rsid w:val="00631FB4"/>
    <w:rsid w:val="0086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B9D56-17DA-4B98-B1A7-D01013F8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AECAD5C774A2940F720856573884B59F%20%20052547F3069AA8AD9F15E3F424AD1A3BD09642AD4776FP0W8P" TargetMode="External"/><Relationship Id="rId13" Type="http://schemas.openxmlformats.org/officeDocument/2006/relationships/hyperlink" Target="consultantplus://offline/ref=1AE39AA61C6E1F557AED3BCB47B31DE2AEFB893706308DEA31DFF44D629B09A7A2B238B2388AD780OFQFP" TargetMode="External"/><Relationship Id="rId18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7E2B9A9F1138D3A420AC000B0FED4AE9E97AAE587A2D54E6B232344BCB1DFAEC892B90B1ADAFCtAH" TargetMode="External"/><Relationship Id="rId7" Type="http://schemas.openxmlformats.org/officeDocument/2006/relationships/hyperlink" Target="consultantplus://offline/ref=B85D25E6B13A5D0B1A4A1F80AA22E78C205E19F5A2517850C66A6B410FD247C5DFD0426BC68EF5AE88FCAF388D868C8076A4C9BEE6C27BF6xFr8M" TargetMode="External"/><Relationship Id="rId12" Type="http://schemas.openxmlformats.org/officeDocument/2006/relationships/hyperlink" Target="consultantplus://offline/ref=B95AECAD5C774A2940F720856573884B59F%20%20052547F3069AA8AD9F15E3F424AD1A3BD09642AD4746EP0W2P" TargetMode="External"/><Relationship Id="rId17" Type="http://schemas.openxmlformats.org/officeDocument/2006/relationships/hyperlink" Target="consultantplus://offline/ref=1AE39AA61C6E1F557AED3BCB47B31DE2AEFB893706308DEA31DFF44D629B09A7A2B238B2388AD683OFQ4P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45025E39BD1D983561919ED0295A457B3FFEAEC61F020780384745772B53F21BD2B4F532E61A350A8E631E38B1BB36EB971564DD2B011ABu04DH" TargetMode="External"/><Relationship Id="rId20" Type="http://schemas.openxmlformats.org/officeDocument/2006/relationships/hyperlink" Target="consultantplus://offline/ref=1A064DE2EF1A7D73F1094D9E74DD88691946DD2AF1C32BF751922A8DFA8B98D080BB588EB0A92FDAFB2BD2E1196B0C15859EEF0EF8SC56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3277EAB18EC2AE4CA5DD66E3327F35BC3432DC7DBC64CF52ACF3B81B9F1FEB04CCC6DAB7F5A88B02261C463479D966E7C676783850649FCkFbDN" TargetMode="External"/><Relationship Id="rId11" Type="http://schemas.openxmlformats.org/officeDocument/2006/relationships/hyperlink" Target="consultantplus://offline/ref=1AE39AA61C6E1F557AED3BCB47B31DE2AEFB893706308DEA31DFF44D629B09A7A2B238B2388AD683OFQ4P" TargetMode="External"/><Relationship Id="rId24" Type="http://schemas.openxmlformats.org/officeDocument/2006/relationships/hyperlink" Target="consultantplus://offline/ref=C8F7B10B411C091444BE85F171C5865E9C6625321C2A2AA216357A41BA2818CBF12686BD1F245E853CCD2A326F717CE4C3FE8AED3180M1P3L" TargetMode="External"/><Relationship Id="rId5" Type="http://schemas.openxmlformats.org/officeDocument/2006/relationships/hyperlink" Target="https://anticorrmo.gov-murman.ru/" TargetMode="External"/><Relationship Id="rId15" Type="http://schemas.openxmlformats.org/officeDocument/2006/relationships/hyperlink" Target="consultantplus://offline/main?base=LAW;n=109783;fld=134;dst=103004" TargetMode="External"/><Relationship Id="rId23" Type="http://schemas.openxmlformats.org/officeDocument/2006/relationships/hyperlink" Target="consultantplus://offline/ref=1AE39AA61C6E1F557AED3BCB47B31DE2AEFB893706308DEA31DFF44D629B09A7A2B238B2388AD785OFQBP" TargetMode="External"/><Relationship Id="rId10" Type="http://schemas.openxmlformats.org/officeDocument/2006/relationships/hyperlink" Target="consultantplus://offline/ref=B95AECAD5C774A2940F720856573884B59F%20%20052547F3069AA8AD9F15E3F424AD1A3BD09642AD4766CP0W9P" TargetMode="External"/><Relationship Id="rId19" Type="http://schemas.openxmlformats.org/officeDocument/2006/relationships/hyperlink" Target="consultantplus://offline/ref=1A064DE2EF1A7D73F1094D9E74DD88691946DD2AF1C32BF751922A8DFA8B98D080BB588EB0AD2FDAFB2BD2E1196B0C15859EEF0EF8SC5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5AECAD5C774A2940F720856573884B59F%20%20052547F3069AA8AD9F15E3F424AD1A3BD09642AD4766BP0WFP" TargetMode="External"/><Relationship Id="rId14" Type="http://schemas.openxmlformats.org/officeDocument/2006/relationships/hyperlink" Target="consultantplus://offline/ref=1AE39AA61C6E1F557AED3BCB47B31DE2AEFB893706308DEA31DFF44D629B09A7A2B238B2388AD684OFQ8P" TargetMode="External"/><Relationship Id="rId22" Type="http://schemas.openxmlformats.org/officeDocument/2006/relationships/hyperlink" Target="consultantplus://offline/ref=D7E2B9A9F1138D3A420AC000B0FED4AE9E97AAE587A2D54E6B232344BCB1DFAEC892B90B1ADAFCtA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7042</Words>
  <Characters>40142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Дермелева О.В.</dc:creator>
  <cp:lastModifiedBy>Дермелева О.В.</cp:lastModifiedBy>
  <cp:revision>2</cp:revision>
  <dcterms:created xsi:type="dcterms:W3CDTF">2024-04-23T13:16:00Z</dcterms:created>
  <dcterms:modified xsi:type="dcterms:W3CDTF">2024-04-23T13:16:00Z</dcterms:modified>
</cp:coreProperties>
</file>