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03" w:rsidRDefault="00BB6DC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60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3261"/>
        <w:gridCol w:w="2128"/>
        <w:gridCol w:w="1560"/>
      </w:tblGrid>
      <w:tr w:rsidR="002C0503">
        <w:trPr>
          <w:trHeight w:val="273"/>
        </w:trPr>
        <w:tc>
          <w:tcPr>
            <w:tcW w:w="966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2C0503" w:rsidRDefault="00BB6D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2C0503">
        <w:trPr>
          <w:trHeight w:val="337"/>
        </w:trPr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C0503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2C0503">
        <w:trPr>
          <w:trHeight w:val="273"/>
        </w:trPr>
        <w:tc>
          <w:tcPr>
            <w:tcW w:w="597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января 2024 г.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01.01.2024</w:t>
            </w:r>
          </w:p>
        </w:tc>
      </w:tr>
      <w:tr w:rsidR="002C0503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Министерство финансов Мурманской области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91233425</w:t>
            </w:r>
          </w:p>
        </w:tc>
      </w:tr>
      <w:tr w:rsidR="002C0503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 w:rsidP="00BB6D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808</w:t>
            </w:r>
          </w:p>
        </w:tc>
      </w:tr>
      <w:tr w:rsidR="002C0503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Консолидированный бюджет 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47701000</w:t>
            </w:r>
          </w:p>
        </w:tc>
      </w:tr>
      <w:tr w:rsidR="002C0503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C0503">
        <w:trPr>
          <w:trHeight w:val="356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2C0503" w:rsidRDefault="00BB6DC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C0503" w:rsidRDefault="00BB6DC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C0503" w:rsidRDefault="00BB6DC6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Годовой отчет об исполнении консолидированного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бюджета Мурманской области за 2023 год составлена в соответствии с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финансов Российской Федерации от 28.12.2010 № 191н (далее – Инструкция 191н), с учетом особенностей, предусмотренных совместными письмами Министерства финансов Российской Федерации и Федеральным казначейством от 12.12.2022 № 02-06-07/121658, № 07-04-05/0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2-31108 «О дополнительных критериях по раскрытию информации при составлении и представлении годовой бюджетной отчетности, годовой консолидированной бухгалтерской отчетности государственных (муниципальных) бюджетных и автономных учреждений финансовыми орган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ами субъектов Российской Федерации и органами управления государственными внебюджетными фондами за 2022 год», от 05.03.2023 № 02-06-07/18159, 00-10-50-06/3167 «Об отражении в бюджетном учете и бюджетной отчетности 2022 года межтерриториальных расчетов прош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лых лет по оказанной застрахованными лицами медицинской помощи, неурегулированных на 1 января 2023 года».</w:t>
      </w:r>
    </w:p>
    <w:p w:rsidR="002C0503" w:rsidRDefault="00BB6DC6">
      <w:pPr>
        <w:shd w:val="clear" w:color="auto" w:fill="FFFFFF"/>
        <w:ind w:firstLine="3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C0503" w:rsidRDefault="00BB6DC6">
      <w:pPr>
        <w:shd w:val="clear" w:color="auto" w:fill="FFFFFF"/>
        <w:ind w:firstLine="3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C0503" w:rsidRDefault="00BB6DC6">
      <w:pPr>
        <w:shd w:val="clear" w:color="auto" w:fill="FFFFFF"/>
        <w:ind w:firstLine="360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1. Организационная структура субъекта бюджетной отчетности</w:t>
      </w:r>
    </w:p>
    <w:p w:rsidR="002C0503" w:rsidRDefault="00BB6DC6">
      <w:pPr>
        <w:shd w:val="clear" w:color="auto" w:fill="FFFFFF"/>
        <w:ind w:left="1140" w:firstLine="360"/>
        <w:jc w:val="both"/>
        <w:rPr>
          <w:color w:val="000000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2C0503" w:rsidRDefault="00BB6DC6">
      <w:pPr>
        <w:shd w:val="clear" w:color="auto" w:fill="FFFFFF"/>
        <w:ind w:firstLine="3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Мурманская область входит в состав Северо-Западного федерального округа и состоит из 6 городских округов, 7 муниципальных округов и 4 муниципальных районов, в состав которых входит 19 поселений, в том числе 10 городских и 9 сельских. </w:t>
      </w:r>
    </w:p>
    <w:p w:rsidR="002C0503" w:rsidRDefault="00BB6DC6">
      <w:pPr>
        <w:shd w:val="clear" w:color="auto" w:fill="FFFFFF"/>
        <w:ind w:firstLine="3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Основными направления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ми экономической политики субъекта РФ Мурманской области являются:</w:t>
      </w:r>
    </w:p>
    <w:p w:rsidR="002C0503" w:rsidRDefault="00BB6DC6">
      <w:pPr>
        <w:shd w:val="clear" w:color="auto" w:fill="FFFFFF"/>
        <w:ind w:firstLine="3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развитие производства и предпринимательства с целью увеличения доходов населения, занятости, роста производства товаров и услуг, повышения их качества;</w:t>
      </w:r>
    </w:p>
    <w:p w:rsidR="002C0503" w:rsidRDefault="00BB6DC6">
      <w:pPr>
        <w:shd w:val="clear" w:color="auto" w:fill="FFFFFF"/>
        <w:ind w:firstLine="3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развитие всех форм собственности и обеспечение конкуренции товаропроизводителей;</w:t>
      </w:r>
    </w:p>
    <w:p w:rsidR="002C0503" w:rsidRDefault="00BB6DC6">
      <w:pPr>
        <w:shd w:val="clear" w:color="auto" w:fill="FFFFFF"/>
        <w:ind w:firstLine="3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создание благоприятного инвестиционного климата и стимулирование инвестиций в экономику области, в том числе зарубежных;</w:t>
      </w:r>
    </w:p>
    <w:p w:rsidR="002C0503" w:rsidRDefault="00BB6DC6">
      <w:pPr>
        <w:shd w:val="clear" w:color="auto" w:fill="FFFFFF"/>
        <w:ind w:firstLine="3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развитие приграничного сотрудничества, включая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трудничество в Баренцевом Евро - Арктическом регионе;</w:t>
      </w:r>
    </w:p>
    <w:p w:rsidR="002C0503" w:rsidRDefault="00BB6DC6">
      <w:pPr>
        <w:shd w:val="clear" w:color="auto" w:fill="FFFFFF"/>
        <w:ind w:firstLine="3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защита отечественных товаропроизводителей; обеспечение экономической безопасности в условиях развития международной конкуренции;</w:t>
      </w:r>
    </w:p>
    <w:p w:rsidR="002C0503" w:rsidRDefault="00BB6DC6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протекционизм в развитии предприятий, имеющих областное и общегосудар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ственное значение, обеспечение в них государственного влияния;</w:t>
      </w:r>
    </w:p>
    <w:p w:rsidR="002C0503" w:rsidRDefault="00BB6DC6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комплексное развитие всех отраслей экономики, повышение конкурентоспособности продукции;</w:t>
      </w:r>
    </w:p>
    <w:p w:rsidR="002C0503" w:rsidRDefault="00BB6DC6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обеспечение комплексной переработки добываемых в области природных ресурсов, внедрение ресурсосберег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ающих, безотходных и малоотходных технологий, освоение наукоемких производств;</w:t>
      </w:r>
    </w:p>
    <w:p w:rsidR="002C0503" w:rsidRDefault="00BB6DC6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развитие рыбного хозяйства,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марикультуры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аграрно-промышленного комплекса;</w:t>
      </w:r>
    </w:p>
    <w:p w:rsidR="002C0503" w:rsidRDefault="00BB6DC6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защита исконной среды обитания, традиционных образа жизни, хозяйствования и промыслов коренных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родов Севера Российской Федерации;</w:t>
      </w:r>
    </w:p>
    <w:p w:rsidR="002C0503" w:rsidRDefault="00BB6DC6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повышение эффективности управления государственной собственностью Мурманской области.</w:t>
      </w:r>
    </w:p>
    <w:p w:rsidR="002C0503" w:rsidRDefault="00BB6DC6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Основные задачи субъекта Мурманской области:</w:t>
      </w:r>
    </w:p>
    <w:p w:rsidR="002C0503" w:rsidRDefault="00BB6DC6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 Разработка и реализация единой государственной бюджетно-финансовой политики на террит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ории области, в том числе обеспечение в пределах своих полномочий прозрачности (открытости) и публичности информации в сфере управления общественными финансами. </w:t>
      </w:r>
    </w:p>
    <w:p w:rsidR="002C0503" w:rsidRDefault="00BB6DC6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 Разработка проекта областного бюджета, и организация его исполнения в установленном 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составление отчетов об исполнении областного бюджета и консолидированного бюджета Мурманской области. </w:t>
      </w:r>
    </w:p>
    <w:p w:rsidR="002C0503" w:rsidRDefault="00BB6DC6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 Разработка и реализация программ государственных внутренних заимствований Мурманской области, разработка программ государственных гарантий Мурманско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й области в установленном порядке. </w:t>
      </w:r>
    </w:p>
    <w:p w:rsidR="002C0503" w:rsidRDefault="00BB6DC6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 Концентрация финансовых ресурсов на приоритетных направлениях социально-экономического развития области и муниципальных образований Мурманской области, целевое финансирование потребностей регионального и межмуниципаль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ного уровня. </w:t>
      </w:r>
    </w:p>
    <w:p w:rsidR="002C0503" w:rsidRDefault="00BB6DC6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Участие в разработке предложений по привлечению в экономику области кредитных ресурсов и источникам их погашения. </w:t>
      </w:r>
    </w:p>
    <w:p w:rsidR="002C0503" w:rsidRDefault="00BB6DC6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6. Совершенствование бюджетного процесса в Мурманской области, методов финансового и бюджетного планирования, финансирования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отчетности на территории области. </w:t>
      </w:r>
    </w:p>
    <w:p w:rsidR="002C0503" w:rsidRDefault="00BB6DC6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7. Осуществление в пределах своих полномочий государственного финансового контроля. 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Courier New" w:eastAsia="Courier New" w:hAnsi="Courier New" w:cs="Courier New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Мурманской области в рамках соблюдения принципа прозрачности (открытости), установленного статьями 28 и 36 Бюджетного кодекса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Федерации, на постоянной основе осуществляются обеспечение прозрачности (открытости) бюджетов и бюджетного процесса Мурманской области.</w:t>
      </w:r>
    </w:p>
    <w:p w:rsidR="002C0503" w:rsidRDefault="00BB6DC6">
      <w:pPr>
        <w:shd w:val="clear" w:color="auto" w:fill="FFFFFF"/>
        <w:ind w:firstLine="140"/>
        <w:jc w:val="both"/>
        <w:rPr>
          <w:color w:val="000000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</w:rPr>
        <w:t>  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2. Результаты деятельности субъекта бюджетной отчетности.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</w:rPr>
        <w:t> 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решения задач социально-экономического развития Мурманской области, определенных в </w:t>
      </w:r>
      <w:hyperlink r:id="rId5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Стратегии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социально-экономического развития Мурманской области до 2020 года и на период до 2025 года, Министерством финансов Мурманской области с высоким уровнем эффективности осуществляется реализация государственной программы Мурманской области «Ф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инансы».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Наиболее значимыми результатами деятельности в отчетном периоде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(2019 - 2023 годы) стали: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 Повышение доходной базы регионального бюджета, поддержание ее стабильности.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В период с 2019-2023 годы отмечается значительное увеличени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поступлений налоговых и неналоговых доходов региона.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сравнению с 2018 годом в 2023 году доходная часть областного бюджета увеличилась в 2 раза (на 64 млрд рублей) и составила 127,7 млрд рублей (в 2018 году -  63,7 млрд рублей). 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этом налоговые и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еналоговые доходы бюджета также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выросли в 2 раза (на 55,3 млрд рублей) и составили в 2023 году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110,3 млрд рублей (в 2018 году -  55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млрд рублей). Основной прирост налоговых и неналоговых доходов в 2023 году к 2018 году сложился за счет увеличения поступ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лений по налогу на прибыль организаций (в 2,6 раза),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по налогу на доходы физических лиц (в 1,6 раза), по налогам на товары и услуги или акцизы по подакцизным товарам (в 2,9 раза) и по налогу на добычу полезных ископаемых (в 2,8 раза).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Кроме того, благода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 функционированию системы казначейских платежей и аккумулированию ликвидности бюджетной системы Российской Федерации на едином казначейском счете у бюджетов субъектов Российской Федерации сохраняется возможность получения дополнительных доходов от управл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 Федеральным казначейством средствами на едином казначейском счете.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с тем, что все бюджетные счета учреждений Мурманской области открыты в Управлении Федерального казначейства по Мурманской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области на едином казначейском счете, в 2023 году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Мурманская область получила дополнительный доход от размещения временно свободных средств единого казначейского счета в объеме 0,3 млрд рублей.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Растет налоговый потенциал региона, а вместе с ним его бюджетная обеспеченность, уровень которой рассчитывается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отношение индекса налогового потенциала субъекта Российской Федерации к индексу его бюджетных расходов.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уровню расчетной бюджетной обеспеченности на 2024 год регион находится на 8 месте среди субъектов Российской Федерации со значением 1,535. На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 год регион был 16-ым со значением 0,954.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 Сохранение безопасного уровня долговой нагрузки, поддержание сбалансированности и устойчивости бюджетной системы региона, снижение расходов на обслуживание государственного долга.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Исполнение бюджета Мурманск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области осуществляется в условиях постоянного мониторинга соблюдения условий соглашений с Минфином России о предоставлении бюджету Мурманской области из федерального бюджета бюджетных кредитов, и дополнительных соглашений, предусматривающих проведение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еструктуризации бюджетной задолженности.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исполнения бюджета на 01.01.2024 объем государственного внутреннего долга Мурманской области составил 22,3 млрд рублей с ростом к уровню долга на 01.01.2019 года на 3,5 млрд рублей или на 19 %, при этом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государственного долга по отношению к налоговым и неналоговым доходам субъекта снизилась с 34 % до 20 %. Таким образом, по итогам оценки долговой устойчивости, Мурманская область по-прежнему относится к группе регионов с высокой долговой устойчивостью.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объема государственного долга Мурманской области по состоянию на 01.01.2024 обусловлено предоставлением Мурманской области в 2023 году инфраструктурного бюджетного кредита и специальных казначейских кредитов в совокупном объеме 4,2 млрд рублей,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полученных на реализацию проектов, направленных на развитие региона (в том числе: на приобретение подвижного состава пассажирского транспорта общего пользования; модернизацию и капитальный ремонт объектов теплоснабжения;  реализацию мероприятий в рамках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иведения в нормативное состояние автомобильных дорог и искусственных дорожных сооружений; развитие инфраструктуры ЗАТО и территорий Арктической зоны РФ, на территории которых дислоцируются воинские формирования).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9360" w:type="dxa"/>
        <w:tblInd w:w="108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1135"/>
        <w:gridCol w:w="1134"/>
        <w:gridCol w:w="1134"/>
        <w:gridCol w:w="1134"/>
        <w:gridCol w:w="1134"/>
        <w:gridCol w:w="1277"/>
      </w:tblGrid>
      <w:tr w:rsidR="002C0503"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0503" w:rsidRDefault="00BB6DC6">
            <w:pPr>
              <w:spacing w:after="200" w:line="276" w:lineRule="auto"/>
              <w:ind w:right="-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                                 Год</w:t>
            </w:r>
          </w:p>
          <w:p w:rsidR="002C0503" w:rsidRDefault="00BB6DC6">
            <w:pPr>
              <w:spacing w:after="200" w:line="276" w:lineRule="auto"/>
              <w:ind w:right="-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01.01.2019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01.01.2020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01.01.2021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01.01.2022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01.01.2023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01.01.2024</w:t>
            </w:r>
          </w:p>
        </w:tc>
      </w:tr>
      <w:tr w:rsidR="002C0503"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pacing w:after="200"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Государственный долг,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млрд рублей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18,8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13,6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12,4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20,3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22,3</w:t>
            </w:r>
          </w:p>
        </w:tc>
      </w:tr>
      <w:tr w:rsidR="002C0503"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pacing w:after="200"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Доля государственного долга в объеме налоговых и неналоговых доходы областного бюджета %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</w:t>
            </w:r>
          </w:p>
        </w:tc>
      </w:tr>
    </w:tbl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этом доля коммерческого долга в объеме государственного долга по сравнению с 2018 годом (51,7 %) снизилась на конец 2023 года до 19,3 %, что позволило сократить расходы на его обслуживание, с 634,1 млн рублей в 2018 году до 140,7 млн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в 2023 году (снижение в 4,5 раза).</w:t>
      </w:r>
    </w:p>
    <w:tbl>
      <w:tblPr>
        <w:tblW w:w="946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0"/>
        <w:gridCol w:w="992"/>
        <w:gridCol w:w="993"/>
        <w:gridCol w:w="1134"/>
        <w:gridCol w:w="992"/>
        <w:gridCol w:w="992"/>
        <w:gridCol w:w="992"/>
      </w:tblGrid>
      <w:tr w:rsidR="002C0503">
        <w:trPr>
          <w:trHeight w:val="492"/>
        </w:trPr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0503" w:rsidRDefault="00BB6DC6">
            <w:pPr>
              <w:spacing w:after="200" w:line="276" w:lineRule="auto"/>
              <w:ind w:right="-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                                   Год</w:t>
            </w:r>
          </w:p>
          <w:p w:rsidR="002C0503" w:rsidRDefault="00BB6DC6">
            <w:pPr>
              <w:spacing w:after="200" w:line="276" w:lineRule="auto"/>
              <w:ind w:right="-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pacing w:after="200" w:line="276" w:lineRule="auto"/>
              <w:ind w:right="-12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</w:tr>
      <w:tr w:rsidR="002C0503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pacing w:after="200"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коммерческих кредитов в объеме государственного долга, %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51,7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35,5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2,2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30,6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19,3</w:t>
            </w:r>
          </w:p>
        </w:tc>
      </w:tr>
      <w:tr w:rsidR="002C0503"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pacing w:after="200" w:line="27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обслуживание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долга, млн рублей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634,1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140,9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37,1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12,7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140,7</w:t>
            </w:r>
          </w:p>
        </w:tc>
      </w:tr>
    </w:tbl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 расходов на обслуживание государственного долга в 2023 году (по сравнению с 2022 годом) обусловлен получением коммерческих кредитов в конце декабря 2022 года, расходы по которым производились в 2023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году. 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 Содействие социально-экономическому, территориальному развитию муниципальных образований Мурманской области посредством финансовой поддержки с учетом выявленных перспектив и возможностей территорий.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Одна из важнейших задач при распределении средств областного бюджета, направляемых на поддержку муниципальных образований - это обеспечение местных бюджетов средствами для исполнения собственных полномочий. 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Передаваемые местным бюджетам налоговые и ненал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оговые доходы, как правило, не могут обеспечить равномерное распределение финансовых ресурсов между муниципалитетами и гарантировать определенный объем доходов муниципалитетам с низким уровнем социально-экономического развития. Эта задача решается с помощь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дотаций на выравнивание бюджетной обеспеченности муниципальных образований.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сокращения разрыва в уровне бюджетной обеспеченности между наиболее и наименее обеспеченными муниципальными образованиями Мурманской области, местным бюджетам в 2023 году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предоставлена дотация на выравнивание бюджетной обеспеченности в объеме 2 772,6 млн рублей с ростом к 2019 году на 812,3 млн рублей, или на 41,4 %, рост к 2018 году составил 1 028,5 млн рублей, или на 58,9 %. Рост обусловлен снижением индекса доходного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тенциала муниципальных образований, связанного с ослаблением налоговой нагрузки для малого и среднего предпринимательства в период распространения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инфекции и продления данной меры поддержки в связи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санкционным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давлением на бизнес, а также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необходимостью обеспечения первоочередных расходных обязательств муниципальных образований.  На 2024 год объем дотации запланирован в размере 2 787,3 млн рублей, с ростом к уровню 2023 года на 0,5 %. 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Предоставление дотации на выравнивание ежегодно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позволяет сократить разрыв в уровне бюджетной обеспеченности между 5 наиболее обеспеченными и 5 наименее обеспеченными муниципальными образованиями более чем 2,5 раза.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Начиная с 2021 года с муниципальными образованиями, являющимися получателями дотаций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выравнивание бюджетной обеспеченности муниципальных районов (муниципальных округов, городских округов), заключаются соглашения, предусматривающие меры социально-экономического развития и оздоровления муниципальных финансов. 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подписании данных соглашени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муниципальными образованиями принимаются обязательства по осуществлению мер, направленных на: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снижение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дотационности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муниципальных образований; 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бюджетную консолидацию; 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соблюдению требований бюджетного законодательства; 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повышение эффективности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 бюджетных средств.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4. Совершенствование структуры и порядка предоставления межбюджетных трансфертов, информатизации бюджетного процесса.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В рамках внедрения современных форм заключения соглашений о предоставлении субсидий из областного бюдже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местным бюджетам, а также контроля за ходом их реализации, в 2021 году завершено внедрение программного комплекса «Реестр соглашений» электронной системы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-Бюджет». 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Функциональные возможности программного комплекса позволяют существенно ускорить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оцесс подписания соглашений, повысить эффективность использования субсидий посредством формирования аналитической информации по их исполнению.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Начиная с 2022 года, предоставление субсидий из областного бюджета местным бюджетам осуществляется только на осно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вании соглашений, формируемых и заключаемых исключительно в программном комплексе «Реестр соглашений» электронной системы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-Бюджет».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2023 года реализована возможность заключения соглашений на предоставление иных межбюджетных трансфертов.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в прогр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аммном комплексе осуществляется заключение соглашений, предусматривающих меры социально-экономического развития и оздоровления муниципальных финансов и соглашений о предоставлении дотации на поддержку мер по обеспечению сбалансированности местных бюджетов.</w:t>
      </w:r>
    </w:p>
    <w:p w:rsidR="002C0503" w:rsidRDefault="00BB6DC6">
      <w:pPr>
        <w:ind w:left="20"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целях принятия взвешенных управленческих решений и осуществления контроля за распределением межбюджетных трансфертов местным бюджетам в 2023 году при формировании проекта областного бюджета на 2024 - 2026 годы Министерство финансов Мурманской области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иступило к внедрению подсистемы автоматизации расчетов распределения межбюджетных трансфертов между муниципальными образованиями в составе программного комплекса, предназначенного для планирования областного бюджета.</w:t>
      </w:r>
    </w:p>
    <w:p w:rsidR="002C0503" w:rsidRDefault="00BB6DC6">
      <w:pPr>
        <w:ind w:left="20"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Подсистема исключает неточности при вып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олнении расчетов и расхождения с методиками расчета распределения межбюджетных трансфертов (несоответствие наименований муниципальных образований; несоответствие наименований трансфертов; несоответствие показателей, используемых при расчете, показателям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методиках; несоответствие итоговых сумм расчетов суммам, внесенным в подсистему планирования бюджета; ошибки при вводе данных).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Интенсивное увеличение потребностей пользователей и расширение задач, возникающих перед Министерством финансов Мурманской област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требует автоматизации рутинных процессов и операций, а также расширения функционала информационных систем. 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развитие информационных систем, совершенствование и рационализация процессов высвобождает ресурсы для решения приоритетных задач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вызовов, поставленных перед финансовыми органами регионов.</w:t>
      </w:r>
    </w:p>
    <w:p w:rsidR="002C0503" w:rsidRDefault="00BB6DC6">
      <w:pPr>
        <w:shd w:val="clear" w:color="auto" w:fill="FFFFFF"/>
        <w:ind w:firstLine="68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5. Реализация мер для устойчивого исполнения местных бюджетов.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 2021 года начата реализация положений </w:t>
      </w:r>
      <w:hyperlink r:id="rId6">
        <w:r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статьи 168.4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Бюджетного кодекса Российской Федерации по восстановлению платежеспособности муниципального образования в случае наличия просроченной задолженности по долговым и (или) бюджет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 обязательствам, предусмотрено предоставление из областного бюджета иного межбюджетного трансферта. Министерством финансов Мурманской области с администрациями муниципальных образований – поселениями Кольского района заключены соглашения о мерах по восс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тановлению платежеспособности муниципального образования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где муниципальными образованиями приняты обязательства, в том числе по сокращению образовавшейся задолженности.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период 2021-2025 годов за счет средств трансферта из областного бюджета, а также 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едств бюджета Кольского района и бюджетов поселений будет погашена полностью задолженность в объеме 321,7 млн рублей, образовавшейся по состоянию на 01.01.2021 года.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По состоянию на 01.01.2024 задолженность составила 72,6 млн рублей, снизившись с 2021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на 248,1 млн рублей, в том числе на 139,2 млн рублей за счет средств областного бюджета.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Оставшуюся сумму задолженности в 2024-2025 годах планируется погашать за счет средств бюджета Кольского района и бюджетов поселений.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Также в целях обеспечения сбалан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сированности местных бюджетов Правительством Мурманской области ежегодно принимаются решения о предоставлении дополнительных объемов финансовой помощи в виде дотации на поддержку мер по обеспечению сбалансированности местных бюджетов. 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Финансовую помощь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областного бюджета в форме дотации на поддержку мер по обеспечению сбалансированности бюджетов в 2023 году получили 16 муниципальных образований на общую сумму 2 856,3 млн рублей, в том числе 1 347,3 млн рублей распределено дополнительно в течение финансо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вого года.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Дополнительное распределение дотации позволило муниципальным образованиям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компенсировать выпадающие доходы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выполнить в полном объёме ряд социально значимых обязательств, в том числе по выплатам заработных плат работникам «указных» категорий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ростом среднего дохода от трудовой деятельности.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стимулирования роста налогового и экономического потенциалов на областном уровне, с 2019 года предусматриваются иные межбюджетные трансферты по результатам оценки налогов, на поступления которых оказывает существенное влияние проводимая органами 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стного самоуправления работа. 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комплексной оценки результатов деятельности по увеличению доходного потенциала за отчетный год и за 3 года, предшествующих отчетному поощрение предоставляется бюджетам 8 муниципальных образований,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достигших высоких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показателей. 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2021 года общий объем данных трансфертов увеличен в 2 раза,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 5,0 млн рублей до 10,0 млн рублей.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2023 году при распределении данного трансферта учтены проводимые муниципальными образованиями мероприятия по погашению задолженности по иму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щественным налогам физических лиц (по данным рейтинга, проводимого УФНС по Мурманской области).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2024 году будет продолжена практика применения стимулирующих механизмов предоставления финансовой помощи местным бюджетам.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6. Мурманская область в рейтингах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Министерства финансов Российской федерации.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Рейтинг субъектов Российской Федерации по уровню открытости бюджетных данных ежегодно составляется федеральным государственным бюджетным учреждением «Научно-исследовательский финансовый институт Министерства фин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ансов Российской Федерации» по заказу Министерства финансов Российской Федерации.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2020 и 2021 годах Мурманская область была отнесена к группе субъектов Российской Федерации «с высоким уровнем открытости бюджетных данных», а в 2022 годах к группе «с очень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высоким уровнем открытости бюджетных данных». Итоговый рейтинг за 2023 год будет опубликован в апреле текущего года, по предварительным данным ожидается, что Мурманская область сохранит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достигнутый результат и попадет в группу «с очень высоким уровнем отк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рытости бюджетных данных». 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Рейтинг качества управления региональными финансами составляется ежегодно Министерством финансов Российской Федерации в соответствии с приказом Министерства финансов Российской Федерации от 03.12.2010 № 552 «О порядке осуществле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мониторинга и оценки качества управления региональными финансами». 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результатам оценки качества управления региональными финансами на протяжении 2018 – 2022 годов Мурманская область сохраняет свою позицию в группе субъектов Российской Федерации с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длежащим качеством управления региональными финансами. 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Результаты оценки качества за 2023 год будут опубликованы на официальном сайте Минфина России в сентябре-октябре 2024 года. 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7. Создание Единой централизованной системы управления финансово-хозяйстве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 деятельностью Мурманской области.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В 2023 году Министерством финансов Мурманской области начато внедрение Единой централизованной системы управления финансово-хозяйственной деятельностью Мурманской области, которая позволит сформировать единое информа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ционно-аналитическое пространство, обеспечивающее комплексную автоматизацию процессов ведения финансово-хозяйственной деятельности организаций государственного сектора Мурманской области (далее – Система).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реализации поставленных задач, в целях организ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 внедрения Системы на территории Мурманской области, включая развитие ее функциональных возможностей, в ноябре 2023 года было создано подведомственное Министерству финансов Мурманской области государственное областное казенное учреждение «Центр учета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бюджетной аналитики» (далее – «Центр учета»)».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 «Центром учета» стоят задачи по обеспечению систематизации и возможности получения аналитической информации, строящейся на данных бухгалтерского учета и бюджетной отчетности, для подготовки достоверной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 о госфинансах региона и полученных финансовых результатах в целях обеспечения обоснованности управленческих решений.</w:t>
      </w:r>
    </w:p>
    <w:p w:rsidR="002C0503" w:rsidRDefault="00BB6DC6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C0503" w:rsidRDefault="00BB6DC6">
      <w:pPr>
        <w:shd w:val="clear" w:color="auto" w:fill="FFFFFF"/>
        <w:ind w:firstLine="28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 Анализ отчета об исполнении бюджета субъектом бюджетной отчетности.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C0503" w:rsidRDefault="00BB6DC6">
      <w:pPr>
        <w:ind w:firstLine="540"/>
        <w:jc w:val="both"/>
        <w:rPr>
          <w:color w:val="000000"/>
        </w:rPr>
      </w:pPr>
      <w:r>
        <w:rPr>
          <w:rFonts w:ascii="Courier New" w:eastAsia="Courier New" w:hAnsi="Courier New" w:cs="Courier New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параметры исполнения консолидированн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бюджета Мурманской области за 2023 год представлены в таблице:</w:t>
      </w:r>
    </w:p>
    <w:p w:rsidR="002C0503" w:rsidRDefault="00BB6DC6">
      <w:pPr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C0503" w:rsidRDefault="00BB6DC6">
      <w:pPr>
        <w:ind w:firstLine="70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млн рублей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tbl>
      <w:tblPr>
        <w:tblW w:w="999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9"/>
        <w:gridCol w:w="2695"/>
        <w:gridCol w:w="2552"/>
        <w:gridCol w:w="1844"/>
      </w:tblGrid>
      <w:tr w:rsidR="002C0503">
        <w:trPr>
          <w:trHeight w:val="388"/>
        </w:trPr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Показатели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Исполнение за 2022 год</w:t>
            </w:r>
            <w:hyperlink w:anchor="_ftn1">
              <w:r>
                <w:rPr>
                  <w:rStyle w:val="a4"/>
                  <w:rFonts w:ascii="Times New Roman" w:eastAsia="Times New Roman" w:hAnsi="Times New Roman" w:cs="Times New Roman"/>
                  <w:color w:val="000000"/>
                  <w:vertAlign w:val="superscript"/>
                </w:rPr>
                <w:t>[2]</w:t>
              </w:r>
            </w:hyperlink>
            <w:bookmarkStart w:id="0" w:name="_ftn_GoBack1"/>
            <w:bookmarkEnd w:id="0"/>
          </w:p>
        </w:tc>
        <w:tc>
          <w:tcPr>
            <w:tcW w:w="4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Исполнение за 2023 год</w:t>
            </w:r>
            <w:hyperlink w:anchor="_ftn2">
              <w:r>
                <w:rPr>
                  <w:rStyle w:val="a4"/>
                  <w:rFonts w:ascii="Times New Roman" w:eastAsia="Times New Roman" w:hAnsi="Times New Roman" w:cs="Times New Roman"/>
                  <w:color w:val="000000"/>
                  <w:vertAlign w:val="superscript"/>
                </w:rPr>
                <w:t>[3]</w:t>
              </w:r>
            </w:hyperlink>
            <w:bookmarkStart w:id="1" w:name="_ftn_GoBack2"/>
            <w:bookmarkEnd w:id="1"/>
          </w:p>
        </w:tc>
      </w:tr>
      <w:tr w:rsidR="002C0503">
        <w:trPr>
          <w:trHeight w:val="314"/>
        </w:trPr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Консолидированный бюджет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Консолидированный бюджет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%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от исполнения 2022 года</w:t>
            </w:r>
          </w:p>
        </w:tc>
      </w:tr>
      <w:tr w:rsidR="002C0503"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Доходы, всего, в том числе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128 921,9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151 464, 6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117,5</w:t>
            </w:r>
          </w:p>
        </w:tc>
      </w:tr>
      <w:tr w:rsidR="002C0503">
        <w:trPr>
          <w:trHeight w:val="318"/>
        </w:trPr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Налоговые и неналоговые доходы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108 678,2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133 532,5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122,9</w:t>
            </w:r>
          </w:p>
        </w:tc>
      </w:tr>
      <w:tr w:rsidR="002C0503">
        <w:trPr>
          <w:trHeight w:val="214"/>
        </w:trPr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Безвозмездные поступления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20 243,7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17 932,1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88,6</w:t>
            </w:r>
          </w:p>
        </w:tc>
      </w:tr>
      <w:tr w:rsidR="002C0503">
        <w:trPr>
          <w:trHeight w:val="444"/>
        </w:trPr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Расходы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154 734,1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152 501,5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98,5</w:t>
            </w:r>
          </w:p>
        </w:tc>
      </w:tr>
      <w:tr w:rsidR="002C0503"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Дефицит(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-)/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Профицит(+)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-25 812,2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-1 036,9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</w:tr>
      <w:tr w:rsidR="002C0503"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Государственный долг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20 284,9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22 329,8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110,1</w:t>
            </w:r>
          </w:p>
        </w:tc>
      </w:tr>
      <w:tr w:rsidR="002C0503"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Муниципальный долг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3 801,0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4 829,9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127,1</w:t>
            </w:r>
          </w:p>
        </w:tc>
      </w:tr>
    </w:tbl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консолидированного бюджета за 2023 год характеризуется следующими данными: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доходам – 151,5 млрд рублей, или 117,5 % по сравнению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исполнением за 2022 год;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расходам – 152,5 млрд рублей, или 98,5 % по сравнению с исполнением за 2022 год.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Консолидированный бюджет Мурманской области за 2023 год исполнен с дефицитом в размере 1,0 млрд рублей.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состоянию на 01.01.2024 государственный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долг Мурманской области вырос до 22,3 млрд рублей, или на 10,1% по отношению к 2022 году, муниципальный долг вырос до 4,8 млрд рублей, или на 27,1 % по отношению к 2022 году.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C0503" w:rsidRDefault="00BB6DC6" w:rsidP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Анализ показателей бухгалтерской отчетности субъекта бюджетной отче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тности.</w:t>
      </w:r>
    </w:p>
    <w:p w:rsidR="002C0503" w:rsidRDefault="00BB6DC6">
      <w:pPr>
        <w:shd w:val="clear" w:color="auto" w:fill="FFFFFF"/>
        <w:ind w:firstLine="420"/>
        <w:jc w:val="center"/>
        <w:rPr>
          <w:color w:val="000000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2C0503" w:rsidRDefault="00BB6DC6">
      <w:pPr>
        <w:shd w:val="clear" w:color="auto" w:fill="FFFFFF"/>
        <w:ind w:firstLine="4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составе Пояснительной записки (ф.0503360) представлены:</w:t>
      </w:r>
    </w:p>
    <w:p w:rsidR="002C0503" w:rsidRDefault="00BB6DC6">
      <w:pPr>
        <w:shd w:val="clear" w:color="auto" w:fill="FFFFFF"/>
        <w:ind w:firstLine="4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движении нефинансовых активов (ф. 0503368);</w:t>
      </w:r>
    </w:p>
    <w:p w:rsidR="002C0503" w:rsidRDefault="00BB6DC6">
      <w:pPr>
        <w:shd w:val="clear" w:color="auto" w:fill="FFFFFF"/>
        <w:ind w:firstLine="4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по дебиторской и кредиторской задолженности (ф. 0503369);</w:t>
      </w:r>
    </w:p>
    <w:p w:rsidR="002C0503" w:rsidRDefault="00BB6DC6">
      <w:pPr>
        <w:shd w:val="clear" w:color="auto" w:fill="FFFFFF"/>
        <w:ind w:firstLine="4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финансовых вложениях получателя бюджетных средств,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администратора источников финансирования дефицита бюджета (ф. 0503371);</w:t>
      </w:r>
    </w:p>
    <w:p w:rsidR="002C0503" w:rsidRDefault="00BB6DC6">
      <w:pPr>
        <w:shd w:val="clear" w:color="auto" w:fill="FFFFFF"/>
        <w:ind w:firstLine="4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государственном (муниципальном) долге (ф. 0503372);</w:t>
      </w:r>
    </w:p>
    <w:p w:rsidR="002C0503" w:rsidRDefault="00BB6DC6">
      <w:pPr>
        <w:shd w:val="clear" w:color="auto" w:fill="FFFFFF"/>
        <w:ind w:firstLine="4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об изменении остатков валюты баланса (ф. 0503373).</w:t>
      </w:r>
    </w:p>
    <w:p w:rsidR="002C0503" w:rsidRDefault="00BB6DC6">
      <w:pPr>
        <w:shd w:val="clear" w:color="auto" w:fill="FFFFFF"/>
        <w:ind w:firstLine="420"/>
        <w:jc w:val="both"/>
        <w:rPr>
          <w:color w:val="000000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hd w:val="clear" w:color="auto" w:fill="FFFFFF"/>
        </w:rPr>
        <w:lastRenderedPageBreak/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 Пояснения к отдельным формам годового отчета.</w:t>
      </w:r>
    </w:p>
    <w:p w:rsidR="002C0503" w:rsidRDefault="00BB6DC6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C0503" w:rsidRDefault="00BB6DC6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4.2. Сведен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ия по дебиторской и кредиторской задолженности в форме 0503369)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– Приложение ф.0503369)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2C0503" w:rsidRDefault="00BB6DC6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2C0503" w:rsidRDefault="00BB6DC6">
      <w:pPr>
        <w:shd w:val="clear" w:color="auto" w:fill="FFFFFF"/>
        <w:ind w:firstLine="560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Динамика изменения дебиторской задолженности консолидированного бюджета Мурманской области за 2023 год</w:t>
      </w:r>
    </w:p>
    <w:p w:rsidR="002C0503" w:rsidRDefault="00BB6DC6">
      <w:pPr>
        <w:shd w:val="clear" w:color="auto" w:fill="FFFFFF"/>
        <w:jc w:val="right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млн. руб.</w:t>
      </w:r>
    </w:p>
    <w:tbl>
      <w:tblPr>
        <w:tblW w:w="9210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4"/>
        <w:gridCol w:w="1419"/>
        <w:gridCol w:w="1560"/>
        <w:gridCol w:w="1277"/>
      </w:tblGrid>
      <w:tr w:rsidR="002C0503">
        <w:trPr>
          <w:trHeight w:val="158"/>
          <w:jc w:val="center"/>
        </w:trPr>
        <w:tc>
          <w:tcPr>
            <w:tcW w:w="4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счета бюджетного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учета</w:t>
            </w:r>
          </w:p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Сумма 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01.01.2023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Сумма 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01.01.2024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(-)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(+)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</w:rPr>
              <w:t> </w:t>
            </w:r>
          </w:p>
        </w:tc>
      </w:tr>
      <w:tr w:rsidR="002C0503">
        <w:trPr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с плательщиками налоговых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1 474,5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5 305,6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+ 3 831,1</w:t>
            </w:r>
          </w:p>
        </w:tc>
      </w:tr>
      <w:tr w:rsidR="002C0503">
        <w:trPr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доходам от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14 837,8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14 965,3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+ 127,5</w:t>
            </w:r>
          </w:p>
        </w:tc>
      </w:tr>
      <w:tr w:rsidR="002C0503">
        <w:trPr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доходам от оказания платных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- 3,1</w:t>
            </w:r>
          </w:p>
        </w:tc>
      </w:tr>
      <w:tr w:rsidR="002C0503">
        <w:trPr>
          <w:trHeight w:val="579"/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суммам штрафов, пеней, неустоек, возмещений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479,8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549,8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+ 70,1</w:t>
            </w:r>
          </w:p>
        </w:tc>
      </w:tr>
      <w:tr w:rsidR="002C0503">
        <w:trPr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51 267,1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51 560,4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+ 293,3</w:t>
            </w:r>
          </w:p>
        </w:tc>
      </w:tr>
      <w:tr w:rsidR="002C0503">
        <w:trPr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безвозмездным денежным поступлениям капитального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1 770,4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2 726,9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  956,5</w:t>
            </w:r>
          </w:p>
        </w:tc>
      </w:tr>
      <w:tr w:rsidR="002C0503">
        <w:trPr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прочим доходам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201,0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+ 41,3</w:t>
            </w:r>
          </w:p>
        </w:tc>
      </w:tr>
      <w:tr w:rsidR="002C0503">
        <w:trPr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выданным авансам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8 552,5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9 657,8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+ 1 105,3</w:t>
            </w:r>
          </w:p>
        </w:tc>
      </w:tr>
      <w:tr w:rsidR="002C0503">
        <w:trPr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с подотчетными лицами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+ 0,8</w:t>
            </w:r>
          </w:p>
        </w:tc>
      </w:tr>
      <w:tr w:rsidR="002C0503">
        <w:trPr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ущербу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960,9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1 340,9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+ 380,0</w:t>
            </w:r>
          </w:p>
        </w:tc>
      </w:tr>
      <w:tr w:rsidR="002C0503">
        <w:trPr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платежам в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288,7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+ 134,6</w:t>
            </w:r>
          </w:p>
        </w:tc>
      </w:tr>
      <w:tr w:rsidR="002C0503">
        <w:trPr>
          <w:jc w:val="center"/>
        </w:trPr>
        <w:tc>
          <w:tcPr>
            <w:tcW w:w="4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79 696.3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86 633,6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+ 6 937,4</w:t>
            </w:r>
          </w:p>
        </w:tc>
      </w:tr>
    </w:tbl>
    <w:p w:rsidR="002C0503" w:rsidRDefault="00BB6DC6">
      <w:pPr>
        <w:shd w:val="clear" w:color="auto" w:fill="FFFFFF"/>
        <w:spacing w:line="360" w:lineRule="atLeast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1.205.00.000 «Расчеты по доходам» дебиторская задолженность на конец 2023 года сложилась в сумме 81 092,0 рублей, что на 5 751,0 млн. рублей больше чем по состоянию на начало 2023 года.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дебиторской задолженности объясняется, в основном, увеличением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задолженности по текущем начисленным налогам администрируемые ФНС России.</w:t>
      </w:r>
    </w:p>
    <w:p w:rsidR="002C0503" w:rsidRDefault="00BB6DC6">
      <w:pPr>
        <w:shd w:val="clear" w:color="auto" w:fill="FFFFFF"/>
        <w:spacing w:line="360" w:lineRule="atLeast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Просроченная задолженность по счету 1.205.00.000 увеличилась по сравнению с предыдущим отчетным годом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732,7 млн. рублей и конец 2023 года составила 2 739,7 млн. рублей. Просроченная задолженность сложилась в основном в связи с несвоевременной уплатой текущих начислений по налогам, в связи с чем, налоговыми органами Мурманской области применяются меры прину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дительного взыскания в соответствии с Налоговым кодексом Российской Федерации.</w:t>
      </w:r>
    </w:p>
    <w:p w:rsidR="002C0503" w:rsidRDefault="00BB6DC6">
      <w:pPr>
        <w:shd w:val="clear" w:color="auto" w:fill="FFFFFF"/>
        <w:spacing w:line="360" w:lineRule="atLeast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По счету 1.206.00.000 «Расчеты выданным авансам» дебиторская задолженность увеличилась на 1 105,3 млн. рублей и на конец 2023 года составила 9 657,8 млн. рублей. Причиной возни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кновения дебиторской задолженности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выданным авансам консолидированного бюджета Мурманской области являются авансовые платежи перед поставщиками согласно условиям заключенных договоров и контрактов.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дебиторская задолженность по счету 1.206.0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0.000 «Расчеты выданным авансам» увеличилась 807,8 млн. рублей и на конец 2023 года составила 1 055,0 млн. рублей.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Причиной возникновения просроченной дебиторской задолженности по выданным авансам консолидированного бюджета Мурманской области являются нару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шение подрядными организациями сроков исполнения контрактов в связи с несвоевременным исполнением подрядчиком своих обязательств по контракту, а также длительного устранения подрядными организациями замечаний к проектной документации</w:t>
      </w:r>
      <w:r>
        <w:rPr>
          <w:rFonts w:ascii="Courier New" w:eastAsia="Courier New" w:hAnsi="Courier New" w:cs="Courier New"/>
          <w:color w:val="000000"/>
        </w:rPr>
        <w:t>.</w:t>
      </w:r>
    </w:p>
    <w:p w:rsidR="002C0503" w:rsidRDefault="00BB6DC6">
      <w:pPr>
        <w:shd w:val="clear" w:color="auto" w:fill="FFFFFF"/>
        <w:spacing w:line="360" w:lineRule="atLeast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сокращению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дебиторской задолженности принимаются меры:</w:t>
      </w:r>
    </w:p>
    <w:p w:rsidR="002C0503" w:rsidRDefault="00BB6DC6">
      <w:pPr>
        <w:shd w:val="clear" w:color="auto" w:fill="FFFFFF"/>
        <w:spacing w:line="360" w:lineRule="atLeast"/>
        <w:ind w:firstLine="4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завершение расчетов и принятие ранее авансированных работ (услуг);</w:t>
      </w:r>
    </w:p>
    <w:p w:rsidR="002C0503" w:rsidRDefault="00BB6DC6">
      <w:pPr>
        <w:shd w:val="clear" w:color="auto" w:fill="FFFFFF"/>
        <w:spacing w:line="360" w:lineRule="atLeast"/>
        <w:ind w:firstLine="4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отказ от последующего авансирования выполняемых работ, предусмотренного договором (государственным контрактом), в случае нарушения сроков вып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олнения по текущем работам (отказ от «револьверного» авансирования при нарушении условий договора);</w:t>
      </w:r>
    </w:p>
    <w:p w:rsidR="002C0503" w:rsidRDefault="00BB6DC6">
      <w:pPr>
        <w:shd w:val="clear" w:color="auto" w:fill="FFFFFF"/>
        <w:spacing w:line="360" w:lineRule="atLeast"/>
        <w:ind w:firstLine="28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пересмотр потребности в авансировании контракта и внесение изменений в порядок оплаты обязательств по контракту;</w:t>
      </w:r>
    </w:p>
    <w:p w:rsidR="002C0503" w:rsidRDefault="00BB6DC6">
      <w:pPr>
        <w:shd w:val="clear" w:color="auto" w:fill="FFFFFF"/>
        <w:spacing w:line="360" w:lineRule="atLeast"/>
        <w:ind w:firstLine="28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пересмотр условий по авансированию конт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ракта и внесение изменений в порядок оплаты обязательств по контракту, предусматривающий оплату по факту оказания услуги, выполнения работ, поставки товаров.</w:t>
      </w:r>
    </w:p>
    <w:p w:rsidR="002C0503" w:rsidRDefault="00BB6DC6">
      <w:pPr>
        <w:shd w:val="clear" w:color="auto" w:fill="FFFFFF"/>
        <w:spacing w:line="360" w:lineRule="atLeast"/>
        <w:ind w:firstLine="28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</w:p>
    <w:p w:rsidR="002C0503" w:rsidRDefault="00BB6DC6">
      <w:pPr>
        <w:shd w:val="clear" w:color="auto" w:fill="FFFFFF"/>
        <w:spacing w:line="360" w:lineRule="atLeast"/>
        <w:ind w:firstLine="280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Динамика изменения кредиторской задолженности консолидированного бюджета Мурманской области за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2023 год</w:t>
      </w:r>
    </w:p>
    <w:p w:rsidR="002C0503" w:rsidRDefault="00BB6DC6">
      <w:pPr>
        <w:shd w:val="clear" w:color="auto" w:fill="FFFFFF"/>
        <w:jc w:val="right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млн. руб.</w:t>
      </w:r>
    </w:p>
    <w:tbl>
      <w:tblPr>
        <w:tblW w:w="9960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0"/>
        <w:gridCol w:w="1136"/>
        <w:gridCol w:w="1562"/>
        <w:gridCol w:w="993"/>
        <w:gridCol w:w="1703"/>
        <w:gridCol w:w="1563"/>
        <w:gridCol w:w="1133"/>
      </w:tblGrid>
      <w:tr w:rsidR="002C0503">
        <w:trPr>
          <w:trHeight w:val="158"/>
          <w:jc w:val="center"/>
        </w:trPr>
        <w:tc>
          <w:tcPr>
            <w:tcW w:w="18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счета бюджетного учета</w:t>
            </w:r>
          </w:p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01.01.2023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01.01.2024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(-)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(+)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</w:rPr>
              <w:t> </w:t>
            </w:r>
          </w:p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2C0503">
        <w:trPr>
          <w:trHeight w:val="886"/>
          <w:jc w:val="center"/>
        </w:trPr>
        <w:tc>
          <w:tcPr>
            <w:tcW w:w="18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просроченная задолженность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просроченная задолженность</w:t>
            </w:r>
          </w:p>
        </w:tc>
        <w:tc>
          <w:tcPr>
            <w:tcW w:w="2693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</w:tr>
      <w:tr w:rsidR="002C0503">
        <w:trPr>
          <w:trHeight w:val="305"/>
          <w:jc w:val="center"/>
        </w:trPr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доходам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24 549,2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2 919,5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>-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- 21 629,7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0503">
        <w:trPr>
          <w:jc w:val="center"/>
        </w:trPr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с подотчетными лицами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>-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0503">
        <w:trPr>
          <w:jc w:val="center"/>
        </w:trPr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ущербу и иным доходам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>-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+ 0,4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0503">
        <w:trPr>
          <w:jc w:val="center"/>
        </w:trPr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принятым обязательствам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7 353,0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11 945,1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72,6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+ 4 592,1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- 76,3</w:t>
            </w:r>
          </w:p>
        </w:tc>
      </w:tr>
      <w:tr w:rsidR="002C0503">
        <w:trPr>
          <w:jc w:val="center"/>
        </w:trPr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Расчеты по платежам в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1 771,8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>-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+ 1 463,333,4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0503">
        <w:trPr>
          <w:trHeight w:val="494"/>
          <w:jc w:val="center"/>
        </w:trPr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Прочие расчеты с кредиторами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>-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+ 0,2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C0503">
        <w:trPr>
          <w:jc w:val="center"/>
        </w:trPr>
        <w:tc>
          <w:tcPr>
            <w:tcW w:w="18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32 213,9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16 639,2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72,6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- 15 574,2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- 76,3</w:t>
            </w:r>
          </w:p>
        </w:tc>
      </w:tr>
    </w:tbl>
    <w:p w:rsidR="002C0503" w:rsidRDefault="00BB6DC6">
      <w:pPr>
        <w:shd w:val="clear" w:color="auto" w:fill="FFFFFF"/>
        <w:ind w:firstLine="560"/>
        <w:jc w:val="right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C0503" w:rsidRDefault="00BB6DC6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Кредиторская задолженность за 2023 год уменьшилась на 15 574,2 млн. рублей и составляет 32 380,9 млн. рублей.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Кредиторская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задолженность по счету 1.205.00.000 «Расчеты по доходам» в сумме 2 919,5 млн. рублей на конец 2023 года сложилась в основном по налоговым доходам, администрируемые ФНС России, в связи с уплатой авансовых платежей.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Кредиторская задолженность по счету 1.302.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00.000 «Расчеты по принятым обязательствам» в сумме 11 945,1 млн. рублей - текущая задолженность, образовавшаяся в основном вследствие привлечения свободных остатков средств бюджетных и автономных учреждений, а также средств во временном распоряжении казен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учреждений.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кредиторская задолженность снизилась на 76,3 млн. рублей и по состоянию на конец 2023 года сложилась в сумме 72,6 млн. рублей.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кредиторская задолженность в сумме 72,6 млн. рублей образовалась в учреждениях муниципа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образованиях Кольского района за счет исполнительных листов, предъявленных как субсидиарная ответственность по долгам муниципальных бюджетных учреждений, на 1 января 2011 года до вступления в силу Федерального закона от 08.05.2010 № 83-ФЗ «О внесении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реализации положений статьи 168.4 Бюджетного кодекса Российской Федерации в 2021 году гла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вами администрации муниципальных образований, имеющих просроченную кредиторскую задолженность, заключены соглашения с Министерством финансов Мурманской области о мерах по восстановлению платежеспособности поселений Кольского района. 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Погашение просроченной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кредиторской задолженности планируется осуществлять поэтапно в 2021-2025 годах за счет средств иного межбюджетного трансферта из областного бюджета и средств бюджета Кольского района, а также средств поселений. 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Муниципальным образованиям Мурманской облас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рекомендовано избегать необоснованных, не первоочередных расходов местного бюджета, не допускать фактов превышения доведенных лимитов при осуществлении закупок товаров, работ, услуг для муниципальных нужд, а также обеспечивать должный муниципальный конт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роль.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C0503" w:rsidRDefault="00BB6DC6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4.3. Сведения о финансовых вложениях (ф.0503371). </w:t>
      </w:r>
    </w:p>
    <w:p w:rsidR="002C0503" w:rsidRDefault="00BB6DC6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2023 году финансовые вложения в государственные и муниципальные учреждения уменьшились на 17 571,5 млн. рублей и составили 126 663,6 млн. рублей.</w:t>
      </w:r>
    </w:p>
    <w:p w:rsidR="002C0503" w:rsidRDefault="00BB6DC6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C0503" w:rsidRDefault="00BB6DC6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4.4. Сведения о государственном (муниципальном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 долге консолидированного бюджета (ф.0503372).</w:t>
      </w:r>
    </w:p>
    <w:p w:rsidR="002C0503" w:rsidRDefault="00BB6DC6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Государственный долг Мурманской области на 1 января 2024 года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24 502,8 млн. рублей, который состоит из задолженности:</w:t>
      </w:r>
    </w:p>
    <w:p w:rsidR="002C0503" w:rsidRDefault="00BB6DC6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по бюджетным кредитам перед федеральным бюджетом 16 430,2 млн. рублей (балансовый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 130111000 «Расчеты с бюджетами бюджетной системы РФ по привлеченным бюджетным кредитам»);</w:t>
      </w:r>
    </w:p>
    <w:p w:rsidR="002C0503" w:rsidRDefault="00BB6DC6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предоставленным государственным гарантиям Мурманской области – 1 600,0 млн. рублей.</w:t>
      </w:r>
    </w:p>
    <w:p w:rsidR="002C0503" w:rsidRDefault="00BB6DC6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отчетном году государственный долг Мурманской области увеличился на 3 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54,3 млн. рублей за счет полученных кредитов от кредитных организаций и за счет увеличения объема государственных гарантий Мурманской области. </w:t>
      </w:r>
    </w:p>
    <w:p w:rsidR="002C0503" w:rsidRDefault="00BB6DC6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13530" w:type="dxa"/>
        <w:tblInd w:w="-70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6"/>
        <w:gridCol w:w="2722"/>
        <w:gridCol w:w="86"/>
        <w:gridCol w:w="3256"/>
        <w:gridCol w:w="2559"/>
        <w:gridCol w:w="1916"/>
        <w:gridCol w:w="1782"/>
        <w:gridCol w:w="113"/>
      </w:tblGrid>
      <w:tr w:rsidR="002C0503">
        <w:trPr>
          <w:trHeight w:val="300"/>
        </w:trPr>
        <w:tc>
          <w:tcPr>
            <w:tcW w:w="1095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C0503" w:rsidRDefault="00BB6DC6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C0503" w:rsidRDefault="00BB6DC6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86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C0503" w:rsidRDefault="00BB6DC6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C0503" w:rsidRDefault="00BB6DC6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C0503" w:rsidRDefault="00BB6DC6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C0503" w:rsidRDefault="00BB6DC6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C0503" w:rsidRDefault="00BB6DC6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C0503" w:rsidRDefault="00BB6DC6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</w:tbl>
    <w:p w:rsidR="002C0503" w:rsidRDefault="00BB6DC6">
      <w:pPr>
        <w:shd w:val="clear" w:color="auto" w:fill="FFFFFF"/>
        <w:ind w:firstLine="560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C0503" w:rsidRDefault="00BB6DC6">
      <w:pPr>
        <w:shd w:val="clear" w:color="auto" w:fill="FFFFFF"/>
        <w:ind w:firstLine="560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5. Прочие вопросы деятельности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субъекта бюджетной отчетности.</w:t>
      </w:r>
    </w:p>
    <w:p w:rsidR="002C0503" w:rsidRDefault="00BB6DC6">
      <w:pPr>
        <w:shd w:val="clear" w:color="auto" w:fill="FFFFFF"/>
        <w:ind w:firstLine="560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C0503" w:rsidRDefault="00BB6DC6">
      <w:pPr>
        <w:shd w:val="clear" w:color="auto" w:fill="FFFFFF"/>
        <w:ind w:right="20" w:firstLine="700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Пояснения по протоколам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внутридокументным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междокумантным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контролям форм годовой отчетности </w:t>
      </w:r>
    </w:p>
    <w:p w:rsidR="002C0503" w:rsidRDefault="00BB6DC6">
      <w:pPr>
        <w:shd w:val="clear" w:color="auto" w:fill="FFFFFF"/>
        <w:ind w:right="20" w:firstLine="700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за 2023 год.</w:t>
      </w:r>
    </w:p>
    <w:p w:rsidR="002C0503" w:rsidRDefault="00BB6DC6" w:rsidP="00BB6DC6">
      <w:pPr>
        <w:shd w:val="clear" w:color="auto" w:fill="FFFFFF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Отклонение по контрольным соотношения взаимосвязанных показателей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Баланса исполнения консолидированного бюджета субъекта Российской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едерации и бюджета территориального государственного внебюджетного фонда </w:t>
      </w:r>
      <w:hyperlink r:id="rId7">
        <w:r>
          <w:rPr>
            <w:rStyle w:val="a4"/>
            <w:rFonts w:ascii="Calibri" w:eastAsia="Calibri" w:hAnsi="Calibri" w:cs="Calibri"/>
            <w:b/>
            <w:color w:val="000000"/>
            <w:sz w:val="28"/>
            <w:szCs w:val="28"/>
          </w:rPr>
          <w:t xml:space="preserve">(ф. 0503320) </w:t>
        </w:r>
      </w:hyperlink>
    </w:p>
    <w:p w:rsidR="002C0503" w:rsidRDefault="00BB6DC6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</w:rPr>
        <w:t> </w:t>
      </w:r>
    </w:p>
    <w:tbl>
      <w:tblPr>
        <w:tblW w:w="10665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7"/>
        <w:gridCol w:w="2599"/>
        <w:gridCol w:w="5239"/>
      </w:tblGrid>
      <w:tr w:rsidR="002C0503">
        <w:trPr>
          <w:trHeight w:val="402"/>
          <w:jc w:val="center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отклонений</w:t>
            </w:r>
          </w:p>
        </w:tc>
        <w:tc>
          <w:tcPr>
            <w:tcW w:w="2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 </w:t>
            </w:r>
          </w:p>
        </w:tc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Пояснение</w:t>
            </w:r>
          </w:p>
        </w:tc>
      </w:tr>
      <w:tr w:rsidR="002C0503">
        <w:trPr>
          <w:trHeight w:val="313"/>
          <w:jc w:val="center"/>
        </w:trPr>
        <w:tc>
          <w:tcPr>
            <w:tcW w:w="106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Междокументный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контроль</w:t>
            </w:r>
          </w:p>
        </w:tc>
      </w:tr>
      <w:tr w:rsidR="002C0503">
        <w:trPr>
          <w:trHeight w:val="445"/>
          <w:jc w:val="center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52 367 219,27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 01.01.2023 года)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34 825 924,79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 01.01.2024 года)</w:t>
            </w:r>
          </w:p>
        </w:tc>
        <w:tc>
          <w:tcPr>
            <w:tcW w:w="2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ind w:left="140" w:firstLine="14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Остаток по счету 1 207 00 000 в ф. 0503372 не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соответствует идентичному показателю в балансе</w:t>
            </w:r>
          </w:p>
          <w:p w:rsidR="002C0503" w:rsidRDefault="00BB6DC6">
            <w:pPr>
              <w:shd w:val="clear" w:color="auto" w:fill="FFFFFF"/>
              <w:ind w:left="140" w:firstLine="140"/>
              <w:rPr>
                <w:color w:val="000000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Отражены долговые требования по необменным операциям счет 1 207 44 000 «Расчеты по иным долговым требованиям (займам (ссудам)».</w:t>
            </w:r>
          </w:p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соответствии с </w:t>
            </w:r>
            <w:hyperlink r:id="rId8">
              <w:r>
                <w:rPr>
                  <w:rStyle w:val="a4"/>
                  <w:rFonts w:ascii="Calibri" w:eastAsia="Calibri" w:hAnsi="Calibri" w:cs="Calibri"/>
                  <w:color w:val="000000"/>
                  <w:sz w:val="20"/>
                  <w:szCs w:val="20"/>
                  <w:u w:val="none"/>
                </w:rPr>
                <w:t>п. 169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Инструкции № 191н в</w:t>
            </w:r>
          </w:p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ф. 0503172  (0503372) в графах 1, 2, 3 </w:t>
            </w:r>
            <w:hyperlink r:id="rId9">
              <w:r>
                <w:rPr>
                  <w:rStyle w:val="a4"/>
                  <w:rFonts w:ascii="Calibri" w:eastAsia="Calibri" w:hAnsi="Calibri" w:cs="Calibri"/>
                  <w:color w:val="000000"/>
                  <w:sz w:val="20"/>
                  <w:szCs w:val="20"/>
                  <w:u w:val="none"/>
                </w:rPr>
                <w:t>Разделов 1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hyperlink r:id="rId10">
              <w:r>
                <w:rPr>
                  <w:rStyle w:val="a4"/>
                  <w:rFonts w:ascii="Calibri" w:eastAsia="Calibri" w:hAnsi="Calibri" w:cs="Calibri"/>
                  <w:color w:val="000000"/>
                  <w:sz w:val="20"/>
                  <w:szCs w:val="20"/>
                  <w:u w:val="none"/>
                </w:rPr>
                <w:t>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Приложения 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казываются номера соответствующих аналитических счетов счета 020700000 «Расчеты по кредитам, займам (ссудам)" (за исключением счета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020744000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«Расчеты по иным долговым требованиям (займам (ссудам)».</w:t>
            </w:r>
          </w:p>
        </w:tc>
      </w:tr>
    </w:tbl>
    <w:p w:rsidR="002C0503" w:rsidRDefault="00BB6DC6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2C0503" w:rsidRDefault="00BB6DC6">
      <w:pPr>
        <w:numPr>
          <w:ilvl w:val="0"/>
          <w:numId w:val="2"/>
        </w:numPr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 xml:space="preserve">Отклонение по контрольным соотношения взаимосвязанных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показателей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онсолидированного Отчета о финансовых результатах деятельности </w:t>
      </w:r>
      <w:hyperlink r:id="rId11">
        <w:r>
          <w:rPr>
            <w:rStyle w:val="a4"/>
            <w:rFonts w:ascii="Calibri" w:eastAsia="Calibri" w:hAnsi="Calibri" w:cs="Calibri"/>
            <w:b/>
            <w:color w:val="000000"/>
            <w:sz w:val="26"/>
            <w:szCs w:val="26"/>
          </w:rPr>
          <w:t>(ф.0503321)</w:t>
        </w:r>
      </w:hyperlink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 xml:space="preserve"> 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tbl>
      <w:tblPr>
        <w:tblW w:w="9975" w:type="dxa"/>
        <w:tblInd w:w="-152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8"/>
        <w:gridCol w:w="1142"/>
        <w:gridCol w:w="2765"/>
        <w:gridCol w:w="1623"/>
        <w:gridCol w:w="2547"/>
      </w:tblGrid>
      <w:tr w:rsidR="002C0503">
        <w:trPr>
          <w:trHeight w:val="402"/>
        </w:trPr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отклонений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Раздел, графа, код строки</w:t>
            </w:r>
          </w:p>
        </w:tc>
        <w:tc>
          <w:tcPr>
            <w:tcW w:w="2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показателя:</w:t>
            </w:r>
          </w:p>
        </w:tc>
        <w:tc>
          <w:tcPr>
            <w:tcW w:w="1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 </w:t>
            </w:r>
          </w:p>
        </w:tc>
        <w:tc>
          <w:tcPr>
            <w:tcW w:w="2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Пояснение</w:t>
            </w:r>
          </w:p>
        </w:tc>
      </w:tr>
      <w:tr w:rsidR="002C0503">
        <w:trPr>
          <w:gridAfter w:val="2"/>
          <w:wAfter w:w="720" w:type="dxa"/>
          <w:trHeight w:val="310"/>
        </w:trPr>
        <w:tc>
          <w:tcPr>
            <w:tcW w:w="58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                                                                       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Внутридокументный контроль</w:t>
            </w:r>
          </w:p>
        </w:tc>
      </w:tr>
      <w:tr w:rsidR="002C0503">
        <w:trPr>
          <w:trHeight w:val="445"/>
        </w:trPr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- 67 759 904 063,91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ind w:firstLine="2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1,4,90</w:t>
            </w:r>
          </w:p>
        </w:tc>
        <w:tc>
          <w:tcPr>
            <w:tcW w:w="2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Чрезвычайные доходы от операций 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активами Код по КОСГУ: 172, доходы от оценки активов и обязательств Код по КОСГУ: 176</w:t>
            </w:r>
          </w:p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ind w:left="140" w:firstLine="14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Отрицательные показатели требуют пояснений</w:t>
            </w:r>
          </w:p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Списание безнадежной к взысканию дебиторской задолженности по договорам аренды земельных участков до разграничения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собственности.</w:t>
            </w:r>
          </w:p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кадастровой стоимости земельных участков, ранее принятых к бюджетному учету</w:t>
            </w:r>
          </w:p>
        </w:tc>
      </w:tr>
      <w:tr w:rsidR="002C0503">
        <w:trPr>
          <w:trHeight w:val="445"/>
        </w:trPr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- 67 754 117 612,49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1,6,90</w:t>
            </w:r>
          </w:p>
        </w:tc>
        <w:tc>
          <w:tcPr>
            <w:tcW w:w="2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16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2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</w:tr>
      <w:tr w:rsidR="002C0503">
        <w:trPr>
          <w:trHeight w:val="445"/>
        </w:trPr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-2 921 884 624,26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ind w:left="2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1,8,90</w:t>
            </w:r>
          </w:p>
        </w:tc>
        <w:tc>
          <w:tcPr>
            <w:tcW w:w="2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16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2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</w:tr>
      <w:tr w:rsidR="002C0503">
        <w:trPr>
          <w:trHeight w:val="445"/>
        </w:trPr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- 4 949 584 489,72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1,10,90</w:t>
            </w:r>
          </w:p>
        </w:tc>
        <w:tc>
          <w:tcPr>
            <w:tcW w:w="2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16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2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</w:tr>
      <w:tr w:rsidR="002C0503">
        <w:trPr>
          <w:trHeight w:val="445"/>
        </w:trPr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- 23 824 350 654,91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ind w:left="20" w:hanging="2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1,11,10</w:t>
            </w:r>
          </w:p>
        </w:tc>
        <w:tc>
          <w:tcPr>
            <w:tcW w:w="2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16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2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</w:tr>
      <w:tr w:rsidR="002C0503">
        <w:trPr>
          <w:trHeight w:val="445"/>
        </w:trPr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- 59 389 353 176,38 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ind w:left="2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1, 11,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16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2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</w:tr>
      <w:tr w:rsidR="002C0503">
        <w:trPr>
          <w:trHeight w:val="445"/>
        </w:trPr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- 8 944 702,96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ind w:firstLine="2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1,14,90</w:t>
            </w:r>
          </w:p>
        </w:tc>
        <w:tc>
          <w:tcPr>
            <w:tcW w:w="2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16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2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</w:tr>
      <w:tr w:rsidR="002C0503">
        <w:trPr>
          <w:trHeight w:val="445"/>
        </w:trPr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- 1783 781 677,36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ind w:firstLine="2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1,14,110</w:t>
            </w:r>
          </w:p>
        </w:tc>
        <w:tc>
          <w:tcPr>
            <w:tcW w:w="2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16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2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</w:tr>
      <w:tr w:rsidR="002C0503">
        <w:trPr>
          <w:trHeight w:val="445"/>
        </w:trPr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- 491 472 566,70</w:t>
            </w:r>
          </w:p>
        </w:tc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ind w:firstLine="2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1,15,090</w:t>
            </w:r>
          </w:p>
        </w:tc>
        <w:tc>
          <w:tcPr>
            <w:tcW w:w="2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162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2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</w:tr>
      <w:tr w:rsidR="002C0503">
        <w:trPr>
          <w:trHeight w:val="445"/>
        </w:trPr>
        <w:tc>
          <w:tcPr>
            <w:tcW w:w="99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Междокументный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контроль</w:t>
            </w:r>
          </w:p>
        </w:tc>
      </w:tr>
      <w:tr w:rsidR="002C0503">
        <w:trPr>
          <w:trHeight w:val="445"/>
        </w:trPr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отклонений</w:t>
            </w:r>
          </w:p>
        </w:tc>
        <w:tc>
          <w:tcPr>
            <w:tcW w:w="55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2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Пояснение</w:t>
            </w:r>
          </w:p>
        </w:tc>
      </w:tr>
      <w:tr w:rsidR="002C0503">
        <w:trPr>
          <w:trHeight w:val="445"/>
        </w:trPr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3 749 067,09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20 000,00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55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Чистое поступление основных средств по ф. 0503321 не соответствует идентичному показателю ф. 0503368 </w:t>
            </w:r>
          </w:p>
        </w:tc>
        <w:tc>
          <w:tcPr>
            <w:tcW w:w="2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соответствии с п. 96 Инструкции 191н</w:t>
            </w:r>
          </w:p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показатели по строкам 831,832,851,852 формируются в том числе и по счету 1 1089Х000 «Нефинансовые активы, составляю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щие имущество казны, в концессии».</w:t>
            </w:r>
          </w:p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показателю ф. 0503368</w:t>
            </w:r>
          </w:p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ф. 0503368 по стр.560 отражены сведения о движении вложений в объекты государственной (муниципальной) казны, в том числе и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106.55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Вложения в непроизведенные активы государственной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(муниципальной) казны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». В ф. 0503321 данная сумма отражена в стр. 350 «Чистое поступление непроизведенных активов».</w:t>
            </w:r>
          </w:p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</w:tr>
      <w:tr w:rsidR="002C0503">
        <w:trPr>
          <w:trHeight w:val="445"/>
        </w:trPr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 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62 226,50</w:t>
            </w:r>
          </w:p>
        </w:tc>
        <w:tc>
          <w:tcPr>
            <w:tcW w:w="55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ind w:left="140" w:firstLine="14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Сумма начисленных расходов в ф. 0503321 по гр.4 не соответствует сумме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неденежных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расчетов</w:t>
            </w:r>
          </w:p>
          <w:p w:rsidR="002C0503" w:rsidRDefault="00BB6DC6">
            <w:pPr>
              <w:shd w:val="clear" w:color="auto" w:fill="FFFFFF"/>
              <w:ind w:left="14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ф. 0503125 по счету 140120251</w:t>
            </w:r>
          </w:p>
          <w:p w:rsidR="002C0503" w:rsidRDefault="00BB6DC6">
            <w:pPr>
              <w:shd w:val="clear" w:color="auto" w:fill="FFFFFF"/>
              <w:ind w:left="140" w:firstLine="14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Ф. 0503321 отражена передача объектов нефинансовых активов другим бюджетам по КВР 807 «Безвозмездные межбюджетные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неденежные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передачи бюджетным (автономным) учреждениям» КОСГУ 251</w:t>
            </w:r>
          </w:p>
        </w:tc>
      </w:tr>
    </w:tbl>
    <w:p w:rsidR="002C0503" w:rsidRDefault="00BB6DC6">
      <w:pPr>
        <w:shd w:val="clear" w:color="auto" w:fill="FFFFFF"/>
        <w:ind w:left="500"/>
        <w:jc w:val="both"/>
        <w:rPr>
          <w:color w:val="000000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2C0503" w:rsidRDefault="00BB6DC6">
      <w:pPr>
        <w:shd w:val="clear" w:color="auto" w:fill="FFFFFF"/>
        <w:ind w:left="500"/>
        <w:jc w:val="both"/>
        <w:rPr>
          <w:color w:val="000000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2C0503" w:rsidRDefault="00BB6DC6">
      <w:pPr>
        <w:numPr>
          <w:ilvl w:val="0"/>
          <w:numId w:val="3"/>
        </w:numPr>
        <w:shd w:val="clear" w:color="auto" w:fill="FFFFFF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Отклонение по контрольным соотношения взаимосвязанных показателей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Справки по заключению счетов бюджетного учета отчетного финансового года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(ф.0503110)</w:t>
      </w:r>
    </w:p>
    <w:p w:rsidR="002C0503" w:rsidRDefault="00BB6DC6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C0503" w:rsidRDefault="00BB6DC6">
      <w:pPr>
        <w:shd w:val="clear" w:color="auto" w:fill="FFFFFF"/>
        <w:ind w:firstLine="28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КБД 0001130299402 (04,05,14) 0000 130 (140110136) – начислен доход бюджетов от возврата дебиторской задолженности прошлых лет по расходам, сформированной получателем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бюджетных средств.</w:t>
      </w:r>
    </w:p>
    <w:p w:rsidR="002C0503" w:rsidRDefault="00BB6DC6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2C0503" w:rsidRDefault="00BB6DC6">
      <w:pPr>
        <w:shd w:val="clear" w:color="auto" w:fill="FFFFFF"/>
        <w:ind w:firstLine="560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C0503" w:rsidRDefault="00BB6DC6">
      <w:pPr>
        <w:numPr>
          <w:ilvl w:val="0"/>
          <w:numId w:val="4"/>
        </w:numPr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Отклонение по контрольным соотношения взаимосвязанных показателей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Сведений о движении нефинансовых активов консолидируемого бюджета</w:t>
      </w:r>
    </w:p>
    <w:p w:rsidR="002C0503" w:rsidRDefault="00BB6DC6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(ф. 0503368) </w:t>
      </w:r>
    </w:p>
    <w:p w:rsidR="002C0503" w:rsidRDefault="00BB6DC6">
      <w:pPr>
        <w:shd w:val="clear" w:color="auto" w:fill="FFFFFF"/>
        <w:ind w:left="5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p w:rsidR="002C0503" w:rsidRDefault="00BB6DC6">
      <w:pPr>
        <w:shd w:val="clear" w:color="auto" w:fill="FFFFFF"/>
        <w:ind w:left="520"/>
        <w:jc w:val="both"/>
        <w:rPr>
          <w:color w:val="00000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Внутридокументный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контроль по строке 560</w:t>
      </w:r>
    </w:p>
    <w:tbl>
      <w:tblPr>
        <w:tblW w:w="9870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6"/>
        <w:gridCol w:w="1901"/>
        <w:gridCol w:w="2759"/>
        <w:gridCol w:w="3374"/>
      </w:tblGrid>
      <w:tr w:rsidR="002C0503">
        <w:trPr>
          <w:trHeight w:val="580"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ind w:left="700" w:hanging="4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Сумма 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ind w:firstLine="56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ind w:firstLine="56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Графы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ind w:firstLine="56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ind w:firstLine="56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Отклонение</w:t>
            </w:r>
          </w:p>
        </w:tc>
        <w:tc>
          <w:tcPr>
            <w:tcW w:w="3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ind w:firstLine="56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2C0503" w:rsidRDefault="00BB6DC6">
            <w:pPr>
              <w:shd w:val="clear" w:color="auto" w:fill="FFFFFF"/>
              <w:ind w:firstLine="56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Пояснения</w:t>
            </w:r>
          </w:p>
        </w:tc>
      </w:tr>
      <w:tr w:rsidR="002C0503">
        <w:trPr>
          <w:trHeight w:val="51"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92 547 089,65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ind w:firstLine="1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3, 4, 6 «На начало года»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показателей по строке «Вложения в объекты государственной (муниципальной) казны» требует пояснений</w:t>
            </w:r>
          </w:p>
          <w:p w:rsidR="002C0503" w:rsidRDefault="00BB6DC6">
            <w:pPr>
              <w:shd w:val="clear" w:color="auto" w:fill="FFFFFF"/>
              <w:ind w:firstLine="10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ind w:firstLine="10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Вложение в приобретение квартир, благоустройство муниципальных объектов (сквер, парк, набережная) счет 16050000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"Вложения в нефинансовые активы государственной (муниципальной) казны"</w:t>
            </w:r>
          </w:p>
          <w:p w:rsidR="002C0503" w:rsidRDefault="00BB6DC6">
            <w:pPr>
              <w:shd w:val="clear" w:color="auto" w:fill="FFFFFF"/>
              <w:ind w:firstLine="100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C0503">
        <w:trPr>
          <w:trHeight w:val="51"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1 061 580 789,35 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ind w:firstLine="10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ind w:firstLine="10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8,10,13 «Поступление (увеличение) </w:t>
            </w: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sz w:val="6"/>
              </w:rPr>
            </w:pPr>
          </w:p>
        </w:tc>
        <w:tc>
          <w:tcPr>
            <w:tcW w:w="3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color w:val="000000"/>
                <w:sz w:val="6"/>
                <w:shd w:val="clear" w:color="auto" w:fill="FFFFFF"/>
              </w:rPr>
            </w:pPr>
          </w:p>
        </w:tc>
      </w:tr>
      <w:tr w:rsidR="002C0503">
        <w:trPr>
          <w:trHeight w:val="51"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700 000,00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ind w:firstLine="10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12,19 «Поступление (увеличение)» - Субъект РФ</w:t>
            </w: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sz w:val="6"/>
              </w:rPr>
            </w:pPr>
          </w:p>
        </w:tc>
        <w:tc>
          <w:tcPr>
            <w:tcW w:w="3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color w:val="000000"/>
                <w:sz w:val="6"/>
                <w:shd w:val="clear" w:color="auto" w:fill="FFFFFF"/>
              </w:rPr>
            </w:pPr>
          </w:p>
        </w:tc>
      </w:tr>
      <w:tr w:rsidR="002C0503">
        <w:trPr>
          <w:trHeight w:val="51"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1 015 066 347,40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ind w:firstLine="10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ind w:firstLine="10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15, 17, 20 «Выбытие (уменьшение)»</w:t>
            </w: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sz w:val="6"/>
              </w:rPr>
            </w:pPr>
          </w:p>
        </w:tc>
        <w:tc>
          <w:tcPr>
            <w:tcW w:w="3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color w:val="000000"/>
                <w:sz w:val="6"/>
                <w:shd w:val="clear" w:color="auto" w:fill="FFFFFF"/>
              </w:rPr>
            </w:pPr>
          </w:p>
        </w:tc>
      </w:tr>
      <w:tr w:rsidR="002C0503">
        <w:trPr>
          <w:trHeight w:val="51"/>
          <w:jc w:val="center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spacing w:line="276" w:lineRule="auto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139 761 531,60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ind w:firstLine="10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22 «На конец года»</w:t>
            </w:r>
          </w:p>
        </w:tc>
        <w:tc>
          <w:tcPr>
            <w:tcW w:w="2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sz w:val="6"/>
              </w:rPr>
            </w:pPr>
          </w:p>
        </w:tc>
        <w:tc>
          <w:tcPr>
            <w:tcW w:w="33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2C0503">
            <w:pPr>
              <w:shd w:val="clear" w:color="auto" w:fill="FFFFFF"/>
              <w:rPr>
                <w:color w:val="000000"/>
                <w:sz w:val="6"/>
                <w:shd w:val="clear" w:color="auto" w:fill="FFFFFF"/>
              </w:rPr>
            </w:pPr>
          </w:p>
        </w:tc>
      </w:tr>
    </w:tbl>
    <w:p w:rsidR="002C0503" w:rsidRDefault="00BB6DC6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2C0503" w:rsidRDefault="00BB6DC6">
      <w:pPr>
        <w:shd w:val="clear" w:color="auto" w:fill="FFFFFF"/>
        <w:ind w:left="520"/>
        <w:jc w:val="both"/>
        <w:rPr>
          <w:color w:val="00000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Междокументный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контроль </w:t>
      </w:r>
    </w:p>
    <w:tbl>
      <w:tblPr>
        <w:tblW w:w="10065" w:type="dxa"/>
        <w:tblInd w:w="-152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7"/>
        <w:gridCol w:w="4482"/>
        <w:gridCol w:w="3686"/>
      </w:tblGrid>
      <w:tr w:rsidR="002C0503">
        <w:trPr>
          <w:trHeight w:val="445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отклонений</w:t>
            </w:r>
          </w:p>
        </w:tc>
        <w:tc>
          <w:tcPr>
            <w:tcW w:w="4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Пояснение</w:t>
            </w:r>
          </w:p>
        </w:tc>
      </w:tr>
      <w:tr w:rsidR="002C0503">
        <w:trPr>
          <w:trHeight w:val="445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3 749 067,09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20 000,00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Чистое поступление основных средств по ф. 0503321 не соответствует идентичному показателю ф. 0503368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соответствии с п. 96 Инструкции 191н</w:t>
            </w:r>
          </w:p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показатели по строкам 831,832,851,852 формируются в том числе и по счету 1 1089Х000 «Нефинансовые активы, составляю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щие имущество казны, в концессии».</w:t>
            </w:r>
          </w:p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ф. 0503368 по стр.560 отражены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сведения о движении вложений в объекты государственной (муниципальной) казны, в том числе и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106.55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Вложения в непроизведенные активы государственной (муниципальной) казны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». В ф.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0503321 данная сумма отражена в стр. 350 «Чистое поступление непроизведенных активов».</w:t>
            </w:r>
          </w:p>
        </w:tc>
      </w:tr>
    </w:tbl>
    <w:p w:rsidR="002C0503" w:rsidRDefault="00BB6DC6">
      <w:pPr>
        <w:shd w:val="clear" w:color="auto" w:fill="FFFFFF"/>
        <w:ind w:left="5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 </w:t>
      </w:r>
    </w:p>
    <w:p w:rsidR="002C0503" w:rsidRDefault="00BB6DC6">
      <w:pPr>
        <w:shd w:val="clear" w:color="auto" w:fill="FFFFFF"/>
        <w:ind w:firstLine="560"/>
        <w:jc w:val="both"/>
        <w:rPr>
          <w:color w:val="000000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2C0503" w:rsidRDefault="00BB6DC6">
      <w:pPr>
        <w:numPr>
          <w:ilvl w:val="0"/>
          <w:numId w:val="5"/>
        </w:numPr>
        <w:spacing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Отклонение по контрольным соотношения взаимосвязанных показателей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Сведений по дебиторской и кредиторской задолженности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(ф. 0503369)</w:t>
      </w:r>
    </w:p>
    <w:p w:rsidR="002C0503" w:rsidRDefault="00BB6DC6">
      <w:pPr>
        <w:shd w:val="clear" w:color="auto" w:fill="FFFFFF"/>
        <w:spacing w:line="276" w:lineRule="auto"/>
        <w:ind w:left="52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C0503" w:rsidRDefault="00BB6DC6">
      <w:pPr>
        <w:shd w:val="clear" w:color="auto" w:fill="FFFFFF"/>
        <w:spacing w:line="276" w:lineRule="auto"/>
        <w:ind w:left="520" w:hanging="240"/>
        <w:jc w:val="both"/>
        <w:rPr>
          <w:color w:val="00000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Внутридокументный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контроль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дебиторской задолженности</w:t>
      </w:r>
    </w:p>
    <w:tbl>
      <w:tblPr>
        <w:tblW w:w="978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849"/>
        <w:gridCol w:w="3065"/>
        <w:gridCol w:w="4319"/>
      </w:tblGrid>
      <w:tr w:rsidR="002C0503">
        <w:trPr>
          <w:trHeight w:val="580"/>
        </w:trPr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ind w:left="600" w:hanging="4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ind w:left="600" w:hanging="40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Сумма 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Графы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Отклонение</w:t>
            </w:r>
          </w:p>
        </w:tc>
        <w:tc>
          <w:tcPr>
            <w:tcW w:w="4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Пояснения</w:t>
            </w:r>
          </w:p>
        </w:tc>
      </w:tr>
      <w:tr w:rsidR="002C0503">
        <w:trPr>
          <w:trHeight w:val="51"/>
        </w:trPr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1 474 504 343,84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ind w:firstLine="100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ind w:firstLine="100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ind w:firstLine="100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Показатель по дебиторской задолженности по доходам свыше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млн.руб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4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ind w:firstLine="100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ind w:firstLine="100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Задолженность перед ИФНС налогоплательщиков по налогам </w:t>
            </w:r>
          </w:p>
          <w:p w:rsidR="002C0503" w:rsidRDefault="00BB6DC6">
            <w:pPr>
              <w:shd w:val="clear" w:color="auto" w:fill="FFFFFF"/>
              <w:ind w:firstLine="100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счет 1 205 11 000 «Расчеты 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плательщиками налогов»</w:t>
            </w:r>
          </w:p>
          <w:p w:rsidR="002C0503" w:rsidRDefault="00BB6DC6">
            <w:pPr>
              <w:shd w:val="clear" w:color="auto" w:fill="FFFFFF"/>
              <w:ind w:firstLine="100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C0503">
        <w:trPr>
          <w:trHeight w:val="51"/>
        </w:trPr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36 945,29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ind w:firstLine="100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17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ind w:firstLine="100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Дебетовый остаток по счетам 303хх, кроме 30314,30305 требует пояснение</w:t>
            </w:r>
          </w:p>
        </w:tc>
        <w:tc>
          <w:tcPr>
            <w:tcW w:w="4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 w:rsidP="00BB6DC6">
            <w:pPr>
              <w:shd w:val="clear" w:color="auto" w:fill="FFFFFF"/>
              <w:ind w:firstLine="100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Задолженность ФСС перед бюджетом. Дебиторская задолженность по страховым взносам на обязательное социальное страхование от несчастных случаев 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производстве и профессиональных заболеваний образовалась в результате проведения специальной оценки условий труда за счет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средств ФСС.</w:t>
            </w:r>
          </w:p>
        </w:tc>
      </w:tr>
    </w:tbl>
    <w:p w:rsidR="002C0503" w:rsidRDefault="00BB6DC6">
      <w:pPr>
        <w:shd w:val="clear" w:color="auto" w:fill="FFFFFF"/>
        <w:spacing w:line="276" w:lineRule="auto"/>
        <w:ind w:left="150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C0503" w:rsidRDefault="00BB6DC6">
      <w:pPr>
        <w:shd w:val="clear" w:color="auto" w:fill="FFFFFF"/>
        <w:spacing w:line="276" w:lineRule="auto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C0503" w:rsidRDefault="00BB6DC6">
      <w:pPr>
        <w:numPr>
          <w:ilvl w:val="0"/>
          <w:numId w:val="6"/>
        </w:numPr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Отклонение по контрольным соотношения взаимосвязанных показателей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Сведения о государственном (муниципальном) долге, предоставленных бюджетных кредитах </w:t>
      </w:r>
      <w:hyperlink r:id="rId12">
        <w:r>
          <w:rPr>
            <w:rStyle w:val="a4"/>
            <w:rFonts w:ascii="Times New Roman" w:eastAsia="Times New Roman" w:hAnsi="Times New Roman" w:cs="Times New Roman"/>
            <w:b/>
            <w:color w:val="000000"/>
            <w:sz w:val="28"/>
            <w:szCs w:val="28"/>
          </w:rPr>
          <w:t>(ф. 0503372</w:t>
        </w:r>
        <w:r>
          <w:rPr>
            <w:rStyle w:val="a4"/>
            <w:rFonts w:ascii="Times New Roman" w:eastAsia="Times New Roman" w:hAnsi="Times New Roman" w:cs="Times New Roman"/>
            <w:b/>
            <w:color w:val="000000"/>
            <w:sz w:val="28"/>
            <w:szCs w:val="28"/>
          </w:rPr>
          <w:t>)</w:t>
        </w:r>
      </w:hyperlink>
    </w:p>
    <w:p w:rsidR="002C0503" w:rsidRDefault="00BB6DC6">
      <w:pPr>
        <w:jc w:val="both"/>
        <w:rPr>
          <w:color w:val="000000"/>
        </w:rPr>
      </w:pPr>
      <w:r>
        <w:rPr>
          <w:rFonts w:ascii="Courier New" w:eastAsia="Courier New" w:hAnsi="Courier New" w:cs="Courier New"/>
          <w:b/>
          <w:color w:val="000000"/>
        </w:rPr>
        <w:t> </w:t>
      </w:r>
    </w:p>
    <w:p w:rsidR="002C0503" w:rsidRDefault="00BB6DC6">
      <w:pPr>
        <w:jc w:val="both"/>
        <w:rPr>
          <w:color w:val="000000"/>
        </w:rPr>
      </w:pPr>
      <w:r>
        <w:rPr>
          <w:rFonts w:ascii="Courier New" w:eastAsia="Courier New" w:hAnsi="Courier New" w:cs="Courier New"/>
          <w:b/>
          <w:color w:val="000000"/>
        </w:rPr>
        <w:t>  </w:t>
      </w:r>
    </w:p>
    <w:tbl>
      <w:tblPr>
        <w:tblW w:w="10065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5"/>
        <w:gridCol w:w="2599"/>
        <w:gridCol w:w="5381"/>
      </w:tblGrid>
      <w:tr w:rsidR="002C0503">
        <w:trPr>
          <w:trHeight w:val="445"/>
          <w:jc w:val="center"/>
        </w:trPr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ind w:left="140" w:firstLine="140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Пояснения</w:t>
            </w:r>
          </w:p>
        </w:tc>
      </w:tr>
      <w:tr w:rsidR="002C0503">
        <w:trPr>
          <w:trHeight w:val="445"/>
          <w:jc w:val="center"/>
        </w:trPr>
        <w:tc>
          <w:tcPr>
            <w:tcW w:w="2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52 367 219,27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 01.01.2023 года)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34 825 924,79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 01.01.2024 года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2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Остаток по счету 1 207 00 000 в ф. 0503372 не соответствует идентичному показателю в балансе</w:t>
            </w:r>
          </w:p>
          <w:p w:rsidR="002C0503" w:rsidRDefault="00BB6DC6">
            <w:pPr>
              <w:shd w:val="clear" w:color="auto" w:fill="FFFFFF"/>
              <w:ind w:left="140" w:firstLine="140"/>
              <w:rPr>
                <w:color w:val="000000"/>
                <w:shd w:val="clear" w:color="auto" w:fill="FFFFFF"/>
              </w:rPr>
            </w:pPr>
            <w:r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Отражены долговые требования по необменным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операциям счет 1 207 44 000 «Расчеты по иным долговым требованиям (займам (ссудам)».</w:t>
            </w:r>
          </w:p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соответствии с </w:t>
            </w:r>
            <w:hyperlink r:id="rId13">
              <w:r>
                <w:rPr>
                  <w:rStyle w:val="a4"/>
                  <w:rFonts w:ascii="Calibri" w:eastAsia="Calibri" w:hAnsi="Calibri" w:cs="Calibri"/>
                  <w:color w:val="000000"/>
                  <w:sz w:val="20"/>
                  <w:szCs w:val="20"/>
                  <w:u w:val="none"/>
                </w:rPr>
                <w:t>п. 169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Инструкции № 191н в</w:t>
            </w:r>
          </w:p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ф. 0503172  (0503372) в графах 1, 2, 3 </w:t>
            </w:r>
            <w:hyperlink r:id="rId14">
              <w:r>
                <w:rPr>
                  <w:rStyle w:val="a4"/>
                  <w:rFonts w:ascii="Calibri" w:eastAsia="Calibri" w:hAnsi="Calibri" w:cs="Calibri"/>
                  <w:color w:val="000000"/>
                  <w:sz w:val="20"/>
                  <w:szCs w:val="20"/>
                  <w:u w:val="none"/>
                </w:rPr>
                <w:t>Разделов 1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hyperlink r:id="rId15">
              <w:r>
                <w:rPr>
                  <w:rStyle w:val="a4"/>
                  <w:rFonts w:ascii="Calibri" w:eastAsia="Calibri" w:hAnsi="Calibri" w:cs="Calibri"/>
                  <w:color w:val="000000"/>
                  <w:sz w:val="20"/>
                  <w:szCs w:val="20"/>
                  <w:u w:val="none"/>
                </w:rPr>
                <w:t>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Приложения указываются номера соответствующих аналитических счетов счета 020700000 «Расчеты по кредитам, займам (ссудам)" (за исключением счета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020744000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«Расчеты по иным долговым требованиям (займам (ссудам)».</w:t>
            </w:r>
          </w:p>
        </w:tc>
      </w:tr>
    </w:tbl>
    <w:p w:rsidR="002C0503" w:rsidRDefault="00BB6DC6">
      <w:pPr>
        <w:spacing w:line="276" w:lineRule="auto"/>
        <w:ind w:left="280"/>
        <w:jc w:val="both"/>
        <w:rPr>
          <w:color w:val="000000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2C0503" w:rsidRDefault="00BB6DC6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 </w:t>
      </w:r>
    </w:p>
    <w:p w:rsidR="002C0503" w:rsidRDefault="00BB6DC6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</w:rPr>
        <w:t xml:space="preserve"> 7.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Сведения о вложениях в объекты недвижимого имущества, объектах незавершенного строительства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(ф. 0503190) </w:t>
      </w:r>
    </w:p>
    <w:p w:rsidR="002C0503" w:rsidRDefault="00BB6DC6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p w:rsidR="002C0503" w:rsidRDefault="00BB6DC6">
      <w:pPr>
        <w:ind w:firstLine="720"/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Протокол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междокументального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 контроля</w:t>
      </w:r>
    </w:p>
    <w:p w:rsidR="002C0503" w:rsidRDefault="00BB6DC6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p w:rsidR="002C0503" w:rsidRDefault="00BB6DC6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7.1. Сумма фактических расходов (в связке ИНН гр.2, учетный номер гр.5, 6) на начало года не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соответствует показателю предыдущего годового отчета (в связке ИНН гр.2, учетный номер гр.5, 6) – требует пояснения;</w:t>
      </w:r>
    </w:p>
    <w:p w:rsidR="002C0503" w:rsidRDefault="00BB6DC6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Сумма фактических расходов (в связке учетный номер гр.5, 6) на начало года не соответствует показателю предыдущего годового отчета (в связк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 учетный номер гр.5, 6) – требует пояснения</w:t>
      </w:r>
    </w:p>
    <w:p w:rsidR="002C0503" w:rsidRDefault="00BB6DC6">
      <w:pPr>
        <w:ind w:firstLine="720"/>
        <w:jc w:val="both"/>
        <w:rPr>
          <w:color w:val="000000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2C0503" w:rsidRDefault="00BB6DC6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3"/>
        <w:gridCol w:w="2716"/>
        <w:gridCol w:w="4825"/>
      </w:tblGrid>
      <w:tr w:rsidR="002C0503">
        <w:trPr>
          <w:trHeight w:val="60"/>
        </w:trPr>
        <w:tc>
          <w:tcPr>
            <w:tcW w:w="5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Суммы</w:t>
            </w:r>
          </w:p>
        </w:tc>
        <w:tc>
          <w:tcPr>
            <w:tcW w:w="4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Пояснения</w:t>
            </w: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11 730,00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13 938 312,33</w:t>
            </w:r>
          </w:p>
        </w:tc>
        <w:tc>
          <w:tcPr>
            <w:tcW w:w="482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 Изменение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уникального номера реестровой записи юридического лица, что повлекло изменение учетного номера объекта капитальных вложений в графе 5</w:t>
            </w:r>
          </w:p>
          <w:p w:rsidR="002C0503" w:rsidRDefault="00BB6DC6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C0503" w:rsidRDefault="00BB6DC6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C0503" w:rsidRDefault="00BB6DC6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C0503" w:rsidRDefault="00BB6DC6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C0503" w:rsidRDefault="00BB6DC6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C0503" w:rsidRDefault="00BB6DC6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C0503" w:rsidRDefault="00BB6DC6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C0503" w:rsidRDefault="00BB6DC6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C0503" w:rsidRDefault="00BB6DC6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C0503" w:rsidRDefault="00BB6DC6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C0503" w:rsidRDefault="00BB6DC6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C0503" w:rsidRDefault="00BB6DC6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C0503" w:rsidRDefault="00BB6DC6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C0503" w:rsidRDefault="00BB6DC6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C0503" w:rsidRDefault="00BB6DC6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C0503" w:rsidRDefault="00BB6DC6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:rsidR="002C0503" w:rsidRDefault="00BB6DC6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3 640 337,81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39 744 888,77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4 995 679,00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23 472 666,00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139 478 493,54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82 055,00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2 206 350,31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652 407,71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2 588 983,06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4 300 000,00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6 877 554,33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69 864,80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347 300 131,36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89 569,04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8 643 547,96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2 297 846,82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12 922 240,90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49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995,00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13 938 312,33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17 270 877,71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39 744 888,77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9 754 353,92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23 472 666,00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</w:rPr>
            </w:pPr>
          </w:p>
        </w:tc>
      </w:tr>
      <w:tr w:rsidR="002C0503">
        <w:trPr>
          <w:trHeight w:val="294"/>
        </w:trPr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85 055,00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167 465,00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  <w:sz w:val="24"/>
              </w:rPr>
            </w:pPr>
          </w:p>
        </w:tc>
      </w:tr>
      <w:tr w:rsidR="002C0503">
        <w:trPr>
          <w:trHeight w:val="307"/>
        </w:trPr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652 407,71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223 841 421,58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  <w:sz w:val="24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2 588 983,06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3 690 000,00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6 877 554,33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2 617 529,98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347 300 131,36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115 473 604,00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8 643 547,96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950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000,00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24 807 953,47</w:t>
            </w:r>
          </w:p>
        </w:tc>
        <w:tc>
          <w:tcPr>
            <w:tcW w:w="482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Изменение кода главного распорядителя бюджетных средств учреждения, что повлекло изменение учетного номера объекта капитальных вложений в графе 5</w:t>
            </w: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8 893 179,05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2 617 529,98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5 361 610,22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5 851 679,76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21 291 404,65</w:t>
            </w:r>
          </w:p>
        </w:tc>
        <w:tc>
          <w:tcPr>
            <w:tcW w:w="482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Изменение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остатков валюты баланса на общую сумму 5 613 266,26 рублей.</w:t>
            </w:r>
          </w:p>
          <w:p w:rsidR="002C0503" w:rsidRDefault="00BB6DC6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Изменения отражены в форме Сведения об изменении остатков валюты баланса (ф. 0503373)</w:t>
            </w:r>
          </w:p>
        </w:tc>
      </w:tr>
      <w:tr w:rsidR="002C0503">
        <w:trPr>
          <w:trHeight w:val="151"/>
        </w:trPr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-26 175 320,94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-27 143 084,41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  <w:sz w:val="16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8 461 663,47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1 682 362,33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8 566 092,50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1 495 558,52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7 122 991,00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500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000,00</w:t>
            </w:r>
          </w:p>
        </w:tc>
        <w:tc>
          <w:tcPr>
            <w:tcW w:w="48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2C0503">
            <w:pPr>
              <w:rPr>
                <w:color w:val="000000"/>
              </w:rPr>
            </w:pPr>
          </w:p>
        </w:tc>
      </w:tr>
      <w:tr w:rsidR="002C0503"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3 959 919,38</w:t>
            </w:r>
          </w:p>
        </w:tc>
        <w:tc>
          <w:tcPr>
            <w:tcW w:w="2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2C0503" w:rsidRDefault="00BB6DC6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2C0503" w:rsidRDefault="00BB6DC6">
      <w:pPr>
        <w:ind w:firstLine="720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7.2. Код статуса объекта на начало года не соответствует коду статуса объекта предыдущего годового отчета (в связке учетный номер гр.5, 6) – требует пояснения</w:t>
      </w:r>
      <w:r>
        <w:rPr>
          <w:rFonts w:ascii="Times New Roman" w:eastAsia="Times New Roman" w:hAnsi="Times New Roman" w:cs="Times New Roman"/>
          <w:i/>
          <w:vanish/>
          <w:color w:val="000000"/>
          <w:sz w:val="28"/>
          <w:szCs w:val="28"/>
        </w:rPr>
        <w:t> </w:t>
      </w:r>
    </w:p>
    <w:p w:rsidR="002C0503" w:rsidRDefault="00BB6DC6">
      <w:pPr>
        <w:ind w:firstLine="7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Код статуса объекта на начало года не соответствует коду статуса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 предыдущего годового отчета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с изменением учетного номера объекта в гр. 5 (в связи с изменением уникального номера реестровой записи юридического лица, изменением кода главного распорядителя бюджетных средств учреждения, изменением остатков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валюты баланса).</w:t>
      </w:r>
    </w:p>
    <w:tbl>
      <w:tblPr>
        <w:tblW w:w="915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2040"/>
        <w:gridCol w:w="4380"/>
      </w:tblGrid>
      <w:tr w:rsidR="002C0503"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C0503" w:rsidRDefault="00BB6DC6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Протокол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внутридокументального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 xml:space="preserve"> контроля</w:t>
      </w:r>
    </w:p>
    <w:p w:rsidR="002C0503" w:rsidRDefault="00BB6DC6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2C0503" w:rsidRDefault="00BB6DC6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Графа 21 меньше графы 20 - требует пояснения на суммы 2 752 512,84 и 3 535 428,00 рублей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гр.21 «Кассовые расходы с начала реализации инвестиционного проекта» меньше показателя гр.20 «Фактические расходы (по сч.0106х1000) на реализацию инвестиционного проекта на конец года» связан с принятием на баланс объектов незавершенного строите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льства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СЕВЕРО-ЗАПАДНОЕ ТУИО МИНОБОРОНЫ РОССИИ ФГКУ,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постановления Правительства Мурманской области от 01.09.2023г № 632-ПП «О приеме в государственную собственность Мурманской области имущества из федеральной собственности», в том числе: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«Объект незавершенного строительства «Здание 1033 ЦГСН СФ», расположенное по адресу: Мурманская область, г. Мурманск, ул. Академика Павлова, стоимостью – 2 752 512 руб.84 коп. </w:t>
      </w:r>
    </w:p>
    <w:p w:rsidR="002C0503" w:rsidRDefault="00BB6DC6">
      <w:pPr>
        <w:spacing w:after="12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«Объект незавершенного строительства «108-квартирный жилой дом серии 93М с ТП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-2400 (шифр 2/27-562)» расположенное по адресу: Мурманская область, г. Мурманск, ул. Академика Павлова, в районе дома № 5, стоимостью – 3 535 428 руб.00 коп. </w:t>
      </w:r>
    </w:p>
    <w:p w:rsidR="002C0503" w:rsidRDefault="00BB6DC6">
      <w:pPr>
        <w:spacing w:after="12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Кассовый расход по указанным выше объектам не осуществлялся.</w:t>
      </w:r>
    </w:p>
    <w:p w:rsidR="002C0503" w:rsidRDefault="00BB6DC6">
      <w:pPr>
        <w:spacing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8. Отклонение по контрольным соотнош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ения взаимосвязанных показателей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Отчета об исполнении консолидированного бюджета субъекта Российской Федерации и бюджета территориального государственного внебюджетного фонда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(ф. 0503317)</w:t>
      </w:r>
    </w:p>
    <w:p w:rsidR="002C0503" w:rsidRDefault="00BB6DC6">
      <w:pPr>
        <w:spacing w:line="276" w:lineRule="auto"/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C0503" w:rsidRDefault="00BB6DC6">
      <w:pPr>
        <w:spacing w:line="276" w:lineRule="auto"/>
        <w:ind w:firstLine="560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8.1. Пояснения плановых показателей по доходам и бюджетной росписи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 расходам</w:t>
      </w:r>
    </w:p>
    <w:p w:rsidR="002C0503" w:rsidRDefault="00BB6DC6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требованиями приказа Министерства финансов РФ от 28.12.2010 № 191н доходы отражены в сумме годовых плановых показателей, утвержденных законом Мурманской области и решениями муниципальных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образований Мурманской области о бюджет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на 2023 год. Расходы отражены в соответствии с уточненной бюджетной росписью бюджетов. </w:t>
      </w:r>
    </w:p>
    <w:p w:rsidR="002C0503" w:rsidRDefault="00BB6DC6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разделе «ДОХОДЫ»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гр. 4 и гр. 6 отражены неурегулированные межбюджетные трансферты между областным бюджетом и бюджетами городских и муниципальных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округов и муниципальных районов в сумме 1 026 696 484,1 рублей.</w:t>
      </w:r>
    </w:p>
    <w:p w:rsidR="002C0503" w:rsidRDefault="00BB6DC6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разделе «РАСХОДЫ»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гр. 4 и гр. 6 отражены неурегулиро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ванные межбюджетные трансферты, передаваемые другим уровням бюджетной системы РФ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бюджетах муниципальных образований межбюджетные трансферты, подлежащие перечислению из областного бюджета в 2023 году, утверждены в меньшем объеме, чем предусмотрено на рег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иональном уровне: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- 2 690 546 112,41 рублей – неурегулированные межбюджетные трансферты (утверждены областным бюджетом для муниципальных образований, но не учтены в местных бюджетах городских и муниципальных округов и муниципальных районов);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 706 548 420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,59 рубля – подлежат распределению в ходе исполнения бюджета.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не урегулированы межбюджетные трансферты между бюджетами муниципальных районов и бюджетами поселений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сумме  12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542 468,66 рублей.</w:t>
      </w:r>
    </w:p>
    <w:p w:rsidR="002C0503" w:rsidRDefault="00BB6DC6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Отклонение результата исполнения бюджетов сложилось в 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мме отклонений расходов бюджетов, утвержденных в соответствии со сводной бюджетной росписью от расходов, утвержденных решениями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 образований о бюджете на 2023 год, и составило – 1 535 995 182,89 рублей.</w:t>
      </w:r>
    </w:p>
    <w:p w:rsidR="002C0503" w:rsidRDefault="00BB6DC6">
      <w:pPr>
        <w:ind w:left="1080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2C0503" w:rsidRDefault="00BB6DC6">
      <w:pPr>
        <w:spacing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8.2. Форматно-логический контроль</w:t>
      </w:r>
    </w:p>
    <w:tbl>
      <w:tblPr>
        <w:tblW w:w="9780" w:type="dxa"/>
        <w:tblInd w:w="11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7"/>
        <w:gridCol w:w="3361"/>
        <w:gridCol w:w="4162"/>
      </w:tblGrid>
      <w:tr w:rsidR="002C0503">
        <w:trPr>
          <w:trHeight w:val="1020"/>
        </w:trPr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чение</w:t>
            </w:r>
          </w:p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Ошибка ФЛК</w:t>
            </w:r>
          </w:p>
        </w:tc>
        <w:tc>
          <w:tcPr>
            <w:tcW w:w="41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Комментарии</w:t>
            </w:r>
          </w:p>
        </w:tc>
      </w:tr>
      <w:tr w:rsidR="002C0503">
        <w:trPr>
          <w:trHeight w:val="999"/>
        </w:trPr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03110000000000313</w:t>
            </w:r>
          </w:p>
        </w:tc>
        <w:tc>
          <w:tcPr>
            <w:tcW w:w="3360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 гр.3 не соответствует "Таблице соответствия разделов (подразделов) и видов расходов классификации расходов бюджетов" МФ РФ</w:t>
            </w:r>
          </w:p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Утверждено </w:t>
            </w:r>
            <w:hyperlink r:id="rId16">
              <w:r>
                <w:rPr>
                  <w:rStyle w:val="a4"/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none"/>
                </w:rPr>
                <w:t>Закон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ом Мурманской области от 13.12.2022 № 2845-01-ЗМО "Об областном бюджете на 2023 год и на плановый период 2024 и 2025 годов". Исполнение через лицевые счета УФК. </w:t>
            </w:r>
          </w:p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C0503">
        <w:trPr>
          <w:trHeight w:val="1020"/>
        </w:trPr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04100000000000461</w:t>
            </w:r>
          </w:p>
        </w:tc>
        <w:tc>
          <w:tcPr>
            <w:tcW w:w="3360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2C0503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C0503">
        <w:trPr>
          <w:trHeight w:val="1020"/>
        </w:trPr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07070000000000121</w:t>
            </w:r>
          </w:p>
        </w:tc>
        <w:tc>
          <w:tcPr>
            <w:tcW w:w="3360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2C0503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C0503">
        <w:trPr>
          <w:trHeight w:val="1020"/>
        </w:trPr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07070000000000122</w:t>
            </w:r>
          </w:p>
        </w:tc>
        <w:tc>
          <w:tcPr>
            <w:tcW w:w="3360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2C0503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C0503">
        <w:trPr>
          <w:trHeight w:val="1020"/>
        </w:trPr>
        <w:tc>
          <w:tcPr>
            <w:tcW w:w="2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07070000000000129</w:t>
            </w:r>
          </w:p>
        </w:tc>
        <w:tc>
          <w:tcPr>
            <w:tcW w:w="3360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2C0503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C0503">
        <w:trPr>
          <w:trHeight w:val="1020"/>
        </w:trPr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10010000000000570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0503" w:rsidRDefault="00BB6DC6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C0503" w:rsidRDefault="00BB6DC6">
      <w:pPr>
        <w:ind w:left="1080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</w:t>
      </w:r>
    </w:p>
    <w:p w:rsidR="002C0503" w:rsidRDefault="00BB6DC6">
      <w:pPr>
        <w:spacing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8.3.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Пояснения к контрольным соотношениям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ф.0503317 и ф.0503152</w:t>
      </w:r>
    </w:p>
    <w:p w:rsidR="002C0503" w:rsidRDefault="00BB6DC6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C0503" w:rsidRDefault="00BB6DC6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Отклонение показателя по источникам отчета об исполнении консолидированного бюджета субъекта Российской Федерации и бюджета территориального государственного внебюджетного фонда (ф.0503317) с показателями данными отчетности органов Федерального казначейств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Консолидированного отчета о кассовых поступлениях и выбытиях (ф.0503152)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( –) 1 084 895 767,36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уменьшение остатков по внутренним расчетам (021100000, 021200000) в разрезе средств, привлеченных на единые счета бюджетов субъектов РФ.</w:t>
      </w:r>
    </w:p>
    <w:p w:rsidR="002C0503" w:rsidRDefault="00BB6DC6">
      <w:pPr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0080" w:type="dxa"/>
        <w:jc w:val="center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9"/>
        <w:gridCol w:w="2766"/>
        <w:gridCol w:w="3485"/>
      </w:tblGrid>
      <w:tr w:rsidR="002C0503">
        <w:trPr>
          <w:trHeight w:val="529"/>
          <w:jc w:val="center"/>
        </w:trPr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Отчет ф.0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503317 (ф.428),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br/>
              <w:t>графа 31</w:t>
            </w:r>
          </w:p>
        </w:tc>
        <w:tc>
          <w:tcPr>
            <w:tcW w:w="27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Отчет ф.0503152 (ф.622),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br/>
              <w:t> графа13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Отклонение</w:t>
            </w:r>
          </w:p>
        </w:tc>
      </w:tr>
      <w:tr w:rsidR="002C0503">
        <w:trPr>
          <w:trHeight w:val="263"/>
          <w:jc w:val="center"/>
        </w:trPr>
        <w:tc>
          <w:tcPr>
            <w:tcW w:w="3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2C0503">
        <w:trPr>
          <w:trHeight w:val="263"/>
          <w:jc w:val="center"/>
        </w:trPr>
        <w:tc>
          <w:tcPr>
            <w:tcW w:w="3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0503" w:rsidRDefault="00BB6DC6">
            <w:pPr>
              <w:spacing w:line="240" w:lineRule="atLeast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- 23 776 414 538,86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C0503" w:rsidRDefault="00BB6DC6">
            <w:pPr>
              <w:spacing w:line="240" w:lineRule="atLeast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C0503" w:rsidRDefault="00BB6DC6">
            <w:pPr>
              <w:spacing w:line="240" w:lineRule="atLeast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- 39 467 181 364,28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pacing w:line="240" w:lineRule="atLeast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C0503" w:rsidRDefault="00BB6DC6">
            <w:pPr>
              <w:spacing w:line="240" w:lineRule="atLeast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15 690 766 825,42</w:t>
            </w:r>
          </w:p>
        </w:tc>
      </w:tr>
      <w:tr w:rsidR="002C0503">
        <w:trPr>
          <w:trHeight w:val="263"/>
          <w:jc w:val="center"/>
        </w:trPr>
        <w:tc>
          <w:tcPr>
            <w:tcW w:w="3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0503" w:rsidRDefault="00BB6DC6">
            <w:pPr>
              <w:spacing w:line="240" w:lineRule="atLeast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23 050 196 708,21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C0503" w:rsidRDefault="00BB6DC6">
            <w:pPr>
              <w:spacing w:line="240" w:lineRule="atLeast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39 825 859 300,99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pacing w:line="240" w:lineRule="atLeast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- 16 775 662 592,78</w:t>
            </w:r>
          </w:p>
        </w:tc>
      </w:tr>
      <w:tr w:rsidR="002C0503">
        <w:trPr>
          <w:trHeight w:val="263"/>
          <w:jc w:val="center"/>
        </w:trPr>
        <w:tc>
          <w:tcPr>
            <w:tcW w:w="3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0503" w:rsidRDefault="00BB6DC6">
            <w:pPr>
              <w:spacing w:line="240" w:lineRule="atLeast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C0503" w:rsidRDefault="00BB6DC6">
            <w:pPr>
              <w:spacing w:line="240" w:lineRule="atLeast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- 1 691 237 562,29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C0503" w:rsidRDefault="00BB6DC6">
            <w:pPr>
              <w:spacing w:line="240" w:lineRule="atLeast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358 677 936,71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0503" w:rsidRDefault="00BB6DC6">
            <w:pPr>
              <w:spacing w:line="240" w:lineRule="atLeast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C0503" w:rsidRDefault="00BB6DC6">
            <w:pPr>
              <w:spacing w:line="240" w:lineRule="atLeast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1 084 895 767,36</w:t>
            </w:r>
          </w:p>
        </w:tc>
      </w:tr>
    </w:tbl>
    <w:p w:rsidR="002C0503" w:rsidRDefault="00BB6DC6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2C0503" w:rsidRDefault="00BB6DC6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2C0503" w:rsidRDefault="00BB6DC6">
      <w:pPr>
        <w:ind w:firstLine="2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Отклонение по контрольным соотношения взаимосвязанных показателей Справочная таблица к отчету об исполнении консолидированного бюджета субъекта Российской Федерации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(ф. 0503387)</w:t>
      </w:r>
    </w:p>
    <w:p w:rsidR="002C0503" w:rsidRDefault="00BB6DC6">
      <w:pPr>
        <w:shd w:val="clear" w:color="auto" w:fill="FFFFFF"/>
        <w:ind w:right="20" w:firstLine="54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C0503" w:rsidRDefault="00BB6DC6">
      <w:pPr>
        <w:shd w:val="clear" w:color="auto" w:fill="FFFFFF"/>
        <w:ind w:left="500" w:right="20"/>
        <w:jc w:val="both"/>
        <w:rPr>
          <w:color w:val="000000"/>
          <w:shd w:val="clear" w:color="auto" w:fill="FFFFFF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p w:rsidR="002C0503" w:rsidRDefault="00BB6DC6">
      <w:pPr>
        <w:shd w:val="clear" w:color="auto" w:fill="FFFFFF"/>
        <w:ind w:firstLine="28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8.1. Таблица 1 гр5 стр.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06100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&gt;=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ф0503317M т2 г.6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Фильтр: ВР = 310,320 - отклонения на сумму расходов по виду расходов 324 «Страховые взносы на обязательное медицинское страхование неработающего населения», которые   отражены в ф. 0503387 по строке 06001.</w:t>
      </w:r>
    </w:p>
    <w:p w:rsidR="002C0503" w:rsidRDefault="00BB6DC6">
      <w:pPr>
        <w:shd w:val="clear" w:color="auto" w:fill="FFFFFF"/>
        <w:ind w:firstLine="28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8.2. Письмо Минфина России от 27 мая 2016 г. N 06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-02-11/30516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Военно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учетные работники относятся к органам местного самоуправления, возможно нарушение контрольных соотношений в связи с тем, что расходы на фонд оплаты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труда, иные выплаты персоналу и взносы по обязательному социальному страхованию подле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 отражению как в строках 00210, 00220, 00230, так и в строках 00801, 00802, 00803).</w:t>
      </w:r>
    </w:p>
    <w:p w:rsidR="002C0503" w:rsidRDefault="00BB6DC6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2C0503" w:rsidRDefault="00BB6DC6">
      <w:pPr>
        <w:shd w:val="clear" w:color="auto" w:fill="FFFFFF"/>
        <w:spacing w:line="276" w:lineRule="auto"/>
        <w:ind w:firstLine="560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.Протокол внешнего контроля. Анализ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форм 0503125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ФО и ГРБС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счет  1301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%1000,1207%1000). </w:t>
      </w:r>
    </w:p>
    <w:p w:rsidR="002C0503" w:rsidRDefault="00BB6DC6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 </w:t>
      </w:r>
    </w:p>
    <w:tbl>
      <w:tblPr>
        <w:tblW w:w="0" w:type="auto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7"/>
        <w:gridCol w:w="271"/>
        <w:gridCol w:w="276"/>
      </w:tblGrid>
      <w:tr w:rsidR="002C0503">
        <w:trPr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- 188 630,14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Министерство финансов Мурманской области в соответствии 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письмом Министерства финансов Российской Федерации от 02.02.2024 № 02-06-06/8367 «Об отражении в бюджетном учете процентов по бюджетным кредитам» сумму начисленных процентов по дополнительному соглашению от 01.08.2023 № 5 к Договору от 25.01.2023 № 05-09/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начисляет в момент возникновения обязательств по уплате процентов, т.е. в апреле 2024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2C0503" w:rsidRDefault="00BB6DC6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2C0503" w:rsidRDefault="00BB6DC6">
      <w:pPr>
        <w:shd w:val="clear" w:color="auto" w:fill="FFFFFF"/>
        <w:ind w:firstLine="700"/>
        <w:jc w:val="both"/>
        <w:rPr>
          <w:color w:val="000000"/>
          <w:shd w:val="clear" w:color="auto" w:fill="FFFFFF"/>
        </w:rPr>
      </w:pPr>
      <w:hyperlink w:anchor="_ftn_GoBack0">
        <w:r>
          <w:rPr>
            <w:rStyle w:val="a4"/>
            <w:rFonts w:ascii="Calibri" w:eastAsia="Calibri" w:hAnsi="Calibri" w:cs="Calibri"/>
            <w:color w:val="000000"/>
            <w:vertAlign w:val="superscript"/>
          </w:rPr>
          <w:t>[1]</w:t>
        </w:r>
      </w:hyperlink>
      <w:bookmarkStart w:id="2" w:name="_ftn0"/>
      <w:bookmarkEnd w:id="2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2021 году основную часть прироста налоговых и неналоговых доходов обеспечил рекордный уровень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поступлений по налогу на прибыль организаций, выросший на 78,4%, а также за счет увеличения      поступлений по НДФЛ на 15,3 %, по налогам на товары и услуги — на 40,5%. Кроме того, использование новой возможности управления остатками средств единого казна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чейского счета позволило бюджету получить дополнительный доход в размере 648,4 млн рублей.</w:t>
      </w:r>
    </w:p>
    <w:p w:rsidR="002C0503" w:rsidRDefault="00BB6DC6">
      <w:pPr>
        <w:ind w:firstLine="700"/>
        <w:jc w:val="both"/>
        <w:rPr>
          <w:color w:val="000000"/>
        </w:rPr>
      </w:pPr>
      <w:hyperlink w:anchor="_ftn_GoBack1">
        <w:r>
          <w:rPr>
            <w:rStyle w:val="a4"/>
            <w:rFonts w:ascii="Times New Roman" w:eastAsia="Times New Roman" w:hAnsi="Times New Roman" w:cs="Times New Roman"/>
            <w:color w:val="000000"/>
            <w:sz w:val="20"/>
            <w:szCs w:val="20"/>
            <w:vertAlign w:val="superscript"/>
          </w:rPr>
          <w:t>[2]</w:t>
        </w:r>
      </w:hyperlink>
      <w:bookmarkStart w:id="3" w:name="_ftn1"/>
      <w:bookmarkEnd w:id="3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Данные отчетной формы 0503317 «</w:t>
      </w:r>
      <w:hyperlink r:id="rId17">
        <w:r>
          <w:rPr>
            <w:rStyle w:val="a4"/>
            <w:rFonts w:ascii="Times New Roman" w:eastAsia="Times New Roman" w:hAnsi="Times New Roman" w:cs="Times New Roman"/>
            <w:i/>
            <w:color w:val="000000"/>
            <w:sz w:val="20"/>
            <w:szCs w:val="20"/>
            <w:u w:val="none"/>
          </w:rPr>
          <w:t>Отчет</w:t>
        </w:r>
      </w:hyperlink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об исполнении консолидированного бюджета субъекта Российской Федерации и бюджета территориального государственного внебюджетного фонда» за 2022 год.</w:t>
      </w:r>
    </w:p>
    <w:p w:rsidR="002C0503" w:rsidRDefault="00BB6DC6">
      <w:pPr>
        <w:rPr>
          <w:color w:val="000000"/>
        </w:rPr>
      </w:pPr>
      <w:hyperlink w:anchor="_ftn_GoBack2">
        <w:r>
          <w:rPr>
            <w:rStyle w:val="a4"/>
            <w:rFonts w:ascii="Calibri" w:eastAsia="Calibri" w:hAnsi="Calibri" w:cs="Calibri"/>
            <w:color w:val="000000"/>
            <w:sz w:val="20"/>
            <w:szCs w:val="20"/>
            <w:vertAlign w:val="superscript"/>
          </w:rPr>
          <w:t>[3]</w:t>
        </w:r>
      </w:hyperlink>
      <w:bookmarkStart w:id="4" w:name="_ftn2"/>
      <w:bookmarkEnd w:id="4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Данные отчетной формы 0503317 «</w:t>
      </w:r>
      <w:hyperlink r:id="rId18">
        <w:r>
          <w:rPr>
            <w:rStyle w:val="a4"/>
            <w:rFonts w:ascii="Times New Roman" w:eastAsia="Times New Roman" w:hAnsi="Times New Roman" w:cs="Times New Roman"/>
            <w:i/>
            <w:color w:val="000000"/>
            <w:sz w:val="20"/>
            <w:szCs w:val="20"/>
            <w:u w:val="none"/>
          </w:rPr>
          <w:t>Отчет</w:t>
        </w:r>
      </w:hyperlink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об исполнении консолидированного бюджета субъекта Российской Федерации и бюджета территориального государственного внебю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джетного фонда» за 2023 год.</w:t>
      </w:r>
    </w:p>
    <w:p w:rsidR="002C0503" w:rsidRDefault="002C0503"/>
    <w:p w:rsidR="002C0503" w:rsidRDefault="00BB6DC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C0503" w:rsidRDefault="00BB6DC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C0503" w:rsidRDefault="00BB6DC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960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4291"/>
        <w:gridCol w:w="3116"/>
      </w:tblGrid>
      <w:tr w:rsidR="002C0503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2C0503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М.А.Селезнев</w:t>
            </w:r>
            <w:proofErr w:type="spellEnd"/>
          </w:p>
        </w:tc>
      </w:tr>
      <w:tr w:rsidR="002C0503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0503" w:rsidRDefault="002C0503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2C050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C0503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C0503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2C0503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r w:rsidRPr="00BB6DC6">
              <w:rPr>
                <w:sz w:val="24"/>
              </w:rPr>
              <w:t>Шеметова Н. Г.</w:t>
            </w:r>
          </w:p>
        </w:tc>
      </w:tr>
      <w:tr w:rsidR="002C0503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2C050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C0503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0503" w:rsidRDefault="002C0503">
            <w:pPr>
              <w:rPr>
                <w:sz w:val="24"/>
              </w:rPr>
            </w:pPr>
          </w:p>
        </w:tc>
      </w:tr>
      <w:tr w:rsidR="002C0503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2C0503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0503" w:rsidRDefault="00BB6D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Шеметова Н. Г.</w:t>
            </w:r>
          </w:p>
        </w:tc>
      </w:tr>
      <w:tr w:rsidR="002C0503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BB6D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2C050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C0503" w:rsidTr="00BB6DC6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0503" w:rsidRDefault="002C0503">
            <w:pPr>
              <w:rPr>
                <w:rFonts w:ascii="Times New Roman" w:eastAsia="Times New Roman" w:hAnsi="Times New Roman" w:cs="Times New Roman"/>
                <w:sz w:val="24"/>
              </w:rPr>
            </w:pPr>
            <w:bookmarkStart w:id="5" w:name="_GoBack"/>
            <w:bookmarkEnd w:id="5"/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0503" w:rsidRDefault="002C0503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0503" w:rsidRDefault="002C0503">
            <w:pPr>
              <w:rPr>
                <w:sz w:val="24"/>
              </w:rPr>
            </w:pPr>
          </w:p>
        </w:tc>
      </w:tr>
    </w:tbl>
    <w:p w:rsidR="002C0503" w:rsidRDefault="00BB6DC6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2C0503" w:rsidSect="00BB6DC6">
      <w:pgSz w:w="12240" w:h="15840"/>
      <w:pgMar w:top="850" w:right="1133" w:bottom="1418" w:left="1133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F17F"/>
    <w:multiLevelType w:val="hybridMultilevel"/>
    <w:tmpl w:val="457AD27A"/>
    <w:lvl w:ilvl="0" w:tplc="4824A583">
      <w:start w:val="6"/>
      <w:numFmt w:val="decimal"/>
      <w:lvlText w:val="%1."/>
      <w:lvlJc w:val="left"/>
      <w:pPr>
        <w:ind w:left="720" w:hanging="360"/>
      </w:pPr>
    </w:lvl>
    <w:lvl w:ilvl="1" w:tplc="72DC0CF3">
      <w:start w:val="1"/>
      <w:numFmt w:val="decimal"/>
      <w:lvlText w:val="%2."/>
      <w:lvlJc w:val="left"/>
      <w:pPr>
        <w:ind w:left="1440" w:hanging="360"/>
      </w:pPr>
    </w:lvl>
    <w:lvl w:ilvl="2" w:tplc="7330FD48">
      <w:start w:val="1"/>
      <w:numFmt w:val="decimal"/>
      <w:lvlText w:val="%3."/>
      <w:lvlJc w:val="left"/>
      <w:pPr>
        <w:ind w:left="2160" w:hanging="360"/>
      </w:pPr>
    </w:lvl>
    <w:lvl w:ilvl="3" w:tplc="499CF9D1">
      <w:start w:val="1"/>
      <w:numFmt w:val="decimal"/>
      <w:lvlText w:val="%4."/>
      <w:lvlJc w:val="left"/>
      <w:pPr>
        <w:ind w:left="2880" w:hanging="360"/>
      </w:pPr>
    </w:lvl>
    <w:lvl w:ilvl="4" w:tplc="26B42806">
      <w:start w:val="1"/>
      <w:numFmt w:val="decimal"/>
      <w:lvlText w:val="%5."/>
      <w:lvlJc w:val="left"/>
      <w:pPr>
        <w:ind w:left="3600" w:hanging="360"/>
      </w:pPr>
    </w:lvl>
    <w:lvl w:ilvl="5" w:tplc="1EE4D43E">
      <w:start w:val="1"/>
      <w:numFmt w:val="decimal"/>
      <w:lvlText w:val="%6."/>
      <w:lvlJc w:val="left"/>
      <w:pPr>
        <w:ind w:left="4320" w:hanging="360"/>
      </w:pPr>
    </w:lvl>
    <w:lvl w:ilvl="6" w:tplc="037F3D2D">
      <w:start w:val="1"/>
      <w:numFmt w:val="decimal"/>
      <w:lvlText w:val="%7."/>
      <w:lvlJc w:val="left"/>
      <w:pPr>
        <w:ind w:left="5040" w:hanging="360"/>
      </w:pPr>
    </w:lvl>
    <w:lvl w:ilvl="7" w:tplc="48399DFC">
      <w:start w:val="1"/>
      <w:numFmt w:val="decimal"/>
      <w:lvlText w:val="%8."/>
      <w:lvlJc w:val="left"/>
      <w:pPr>
        <w:ind w:left="5760" w:hanging="360"/>
      </w:pPr>
    </w:lvl>
    <w:lvl w:ilvl="8" w:tplc="68E0C25E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0A3F40FF"/>
    <w:multiLevelType w:val="hybridMultilevel"/>
    <w:tmpl w:val="D0E47C42"/>
    <w:lvl w:ilvl="0" w:tplc="24376D66">
      <w:start w:val="4"/>
      <w:numFmt w:val="decimal"/>
      <w:lvlText w:val="%1."/>
      <w:lvlJc w:val="left"/>
      <w:pPr>
        <w:ind w:left="720" w:hanging="360"/>
      </w:pPr>
    </w:lvl>
    <w:lvl w:ilvl="1" w:tplc="7638BCC9">
      <w:start w:val="1"/>
      <w:numFmt w:val="decimal"/>
      <w:lvlText w:val="%2."/>
      <w:lvlJc w:val="left"/>
      <w:pPr>
        <w:ind w:left="1440" w:hanging="360"/>
      </w:pPr>
    </w:lvl>
    <w:lvl w:ilvl="2" w:tplc="44512C71">
      <w:start w:val="1"/>
      <w:numFmt w:val="decimal"/>
      <w:lvlText w:val="%3."/>
      <w:lvlJc w:val="left"/>
      <w:pPr>
        <w:ind w:left="2160" w:hanging="360"/>
      </w:pPr>
    </w:lvl>
    <w:lvl w:ilvl="3" w:tplc="4105A1A5">
      <w:start w:val="1"/>
      <w:numFmt w:val="decimal"/>
      <w:lvlText w:val="%4."/>
      <w:lvlJc w:val="left"/>
      <w:pPr>
        <w:ind w:left="2880" w:hanging="360"/>
      </w:pPr>
    </w:lvl>
    <w:lvl w:ilvl="4" w:tplc="49B9B6C0">
      <w:start w:val="1"/>
      <w:numFmt w:val="decimal"/>
      <w:lvlText w:val="%5."/>
      <w:lvlJc w:val="left"/>
      <w:pPr>
        <w:ind w:left="3600" w:hanging="360"/>
      </w:pPr>
    </w:lvl>
    <w:lvl w:ilvl="5" w:tplc="0D0996AE">
      <w:start w:val="1"/>
      <w:numFmt w:val="decimal"/>
      <w:lvlText w:val="%6."/>
      <w:lvlJc w:val="left"/>
      <w:pPr>
        <w:ind w:left="4320" w:hanging="360"/>
      </w:pPr>
    </w:lvl>
    <w:lvl w:ilvl="6" w:tplc="08275636">
      <w:start w:val="1"/>
      <w:numFmt w:val="decimal"/>
      <w:lvlText w:val="%7."/>
      <w:lvlJc w:val="left"/>
      <w:pPr>
        <w:ind w:left="5040" w:hanging="360"/>
      </w:pPr>
    </w:lvl>
    <w:lvl w:ilvl="7" w:tplc="40793A21">
      <w:start w:val="1"/>
      <w:numFmt w:val="decimal"/>
      <w:lvlText w:val="%8."/>
      <w:lvlJc w:val="left"/>
      <w:pPr>
        <w:ind w:left="5760" w:hanging="360"/>
      </w:pPr>
    </w:lvl>
    <w:lvl w:ilvl="8" w:tplc="795A9AB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19799AB0"/>
    <w:multiLevelType w:val="hybridMultilevel"/>
    <w:tmpl w:val="89FC188A"/>
    <w:lvl w:ilvl="0" w:tplc="1C550266">
      <w:start w:val="2"/>
      <w:numFmt w:val="decimal"/>
      <w:lvlText w:val="%1."/>
      <w:lvlJc w:val="left"/>
      <w:pPr>
        <w:ind w:left="720" w:hanging="360"/>
      </w:pPr>
    </w:lvl>
    <w:lvl w:ilvl="1" w:tplc="682B4986">
      <w:start w:val="1"/>
      <w:numFmt w:val="decimal"/>
      <w:lvlText w:val="%2."/>
      <w:lvlJc w:val="left"/>
      <w:pPr>
        <w:ind w:left="1440" w:hanging="360"/>
      </w:pPr>
    </w:lvl>
    <w:lvl w:ilvl="2" w:tplc="0CEFBFA9">
      <w:start w:val="1"/>
      <w:numFmt w:val="decimal"/>
      <w:lvlText w:val="%3."/>
      <w:lvlJc w:val="left"/>
      <w:pPr>
        <w:ind w:left="2160" w:hanging="360"/>
      </w:pPr>
    </w:lvl>
    <w:lvl w:ilvl="3" w:tplc="1715C933">
      <w:start w:val="1"/>
      <w:numFmt w:val="decimal"/>
      <w:lvlText w:val="%4."/>
      <w:lvlJc w:val="left"/>
      <w:pPr>
        <w:ind w:left="2880" w:hanging="360"/>
      </w:pPr>
    </w:lvl>
    <w:lvl w:ilvl="4" w:tplc="4033AB8D">
      <w:start w:val="1"/>
      <w:numFmt w:val="decimal"/>
      <w:lvlText w:val="%5."/>
      <w:lvlJc w:val="left"/>
      <w:pPr>
        <w:ind w:left="3600" w:hanging="360"/>
      </w:pPr>
    </w:lvl>
    <w:lvl w:ilvl="5" w:tplc="1ADE4018">
      <w:start w:val="1"/>
      <w:numFmt w:val="decimal"/>
      <w:lvlText w:val="%6."/>
      <w:lvlJc w:val="left"/>
      <w:pPr>
        <w:ind w:left="4320" w:hanging="360"/>
      </w:pPr>
    </w:lvl>
    <w:lvl w:ilvl="6" w:tplc="49EF1FB8">
      <w:start w:val="1"/>
      <w:numFmt w:val="decimal"/>
      <w:lvlText w:val="%7."/>
      <w:lvlJc w:val="left"/>
      <w:pPr>
        <w:ind w:left="5040" w:hanging="360"/>
      </w:pPr>
    </w:lvl>
    <w:lvl w:ilvl="7" w:tplc="41DFD931">
      <w:start w:val="1"/>
      <w:numFmt w:val="decimal"/>
      <w:lvlText w:val="%8."/>
      <w:lvlJc w:val="left"/>
      <w:pPr>
        <w:ind w:left="5760" w:hanging="360"/>
      </w:pPr>
    </w:lvl>
    <w:lvl w:ilvl="8" w:tplc="075604EA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1D6B57F3"/>
    <w:multiLevelType w:val="hybridMultilevel"/>
    <w:tmpl w:val="B53C6132"/>
    <w:lvl w:ilvl="0" w:tplc="20E356F8">
      <w:start w:val="1"/>
      <w:numFmt w:val="decimal"/>
      <w:lvlText w:val="%1."/>
      <w:lvlJc w:val="left"/>
      <w:pPr>
        <w:ind w:left="720" w:hanging="360"/>
      </w:pPr>
    </w:lvl>
    <w:lvl w:ilvl="1" w:tplc="34E1A712">
      <w:start w:val="1"/>
      <w:numFmt w:val="decimal"/>
      <w:lvlText w:val="%2."/>
      <w:lvlJc w:val="left"/>
      <w:pPr>
        <w:ind w:left="1440" w:hanging="360"/>
      </w:pPr>
    </w:lvl>
    <w:lvl w:ilvl="2" w:tplc="42A205AA">
      <w:start w:val="1"/>
      <w:numFmt w:val="decimal"/>
      <w:lvlText w:val="%3."/>
      <w:lvlJc w:val="left"/>
      <w:pPr>
        <w:ind w:left="2160" w:hanging="360"/>
      </w:pPr>
    </w:lvl>
    <w:lvl w:ilvl="3" w:tplc="347DA0B6">
      <w:start w:val="1"/>
      <w:numFmt w:val="decimal"/>
      <w:lvlText w:val="%4."/>
      <w:lvlJc w:val="left"/>
      <w:pPr>
        <w:ind w:left="2880" w:hanging="360"/>
      </w:pPr>
    </w:lvl>
    <w:lvl w:ilvl="4" w:tplc="2609B426">
      <w:start w:val="1"/>
      <w:numFmt w:val="decimal"/>
      <w:lvlText w:val="%5."/>
      <w:lvlJc w:val="left"/>
      <w:pPr>
        <w:ind w:left="3600" w:hanging="360"/>
      </w:pPr>
    </w:lvl>
    <w:lvl w:ilvl="5" w:tplc="39A14A33">
      <w:start w:val="1"/>
      <w:numFmt w:val="decimal"/>
      <w:lvlText w:val="%6."/>
      <w:lvlJc w:val="left"/>
      <w:pPr>
        <w:ind w:left="4320" w:hanging="360"/>
      </w:pPr>
    </w:lvl>
    <w:lvl w:ilvl="6" w:tplc="0E07DFE8">
      <w:start w:val="1"/>
      <w:numFmt w:val="decimal"/>
      <w:lvlText w:val="%7."/>
      <w:lvlJc w:val="left"/>
      <w:pPr>
        <w:ind w:left="5040" w:hanging="360"/>
      </w:pPr>
    </w:lvl>
    <w:lvl w:ilvl="7" w:tplc="6A2DFF7E">
      <w:start w:val="1"/>
      <w:numFmt w:val="decimal"/>
      <w:lvlText w:val="%8."/>
      <w:lvlJc w:val="left"/>
      <w:pPr>
        <w:ind w:left="5760" w:hanging="360"/>
      </w:pPr>
    </w:lvl>
    <w:lvl w:ilvl="8" w:tplc="7A1AB501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351D7165"/>
    <w:multiLevelType w:val="hybridMultilevel"/>
    <w:tmpl w:val="48066E54"/>
    <w:lvl w:ilvl="0" w:tplc="6D9A355D">
      <w:start w:val="3"/>
      <w:numFmt w:val="decimal"/>
      <w:lvlText w:val="%1."/>
      <w:lvlJc w:val="left"/>
      <w:pPr>
        <w:ind w:left="720" w:hanging="360"/>
      </w:pPr>
    </w:lvl>
    <w:lvl w:ilvl="1" w:tplc="0C4A7D2D">
      <w:start w:val="1"/>
      <w:numFmt w:val="decimal"/>
      <w:lvlText w:val="%2."/>
      <w:lvlJc w:val="left"/>
      <w:pPr>
        <w:ind w:left="1440" w:hanging="360"/>
      </w:pPr>
    </w:lvl>
    <w:lvl w:ilvl="2" w:tplc="02964FC0">
      <w:start w:val="1"/>
      <w:numFmt w:val="decimal"/>
      <w:lvlText w:val="%3."/>
      <w:lvlJc w:val="left"/>
      <w:pPr>
        <w:ind w:left="2160" w:hanging="360"/>
      </w:pPr>
    </w:lvl>
    <w:lvl w:ilvl="3" w:tplc="0769BC7B">
      <w:start w:val="1"/>
      <w:numFmt w:val="decimal"/>
      <w:lvlText w:val="%4."/>
      <w:lvlJc w:val="left"/>
      <w:pPr>
        <w:ind w:left="2880" w:hanging="360"/>
      </w:pPr>
    </w:lvl>
    <w:lvl w:ilvl="4" w:tplc="7FC43516">
      <w:start w:val="1"/>
      <w:numFmt w:val="decimal"/>
      <w:lvlText w:val="%5."/>
      <w:lvlJc w:val="left"/>
      <w:pPr>
        <w:ind w:left="3600" w:hanging="360"/>
      </w:pPr>
    </w:lvl>
    <w:lvl w:ilvl="5" w:tplc="3862C4C0">
      <w:start w:val="1"/>
      <w:numFmt w:val="decimal"/>
      <w:lvlText w:val="%6."/>
      <w:lvlJc w:val="left"/>
      <w:pPr>
        <w:ind w:left="4320" w:hanging="360"/>
      </w:pPr>
    </w:lvl>
    <w:lvl w:ilvl="6" w:tplc="45A282E9">
      <w:start w:val="1"/>
      <w:numFmt w:val="decimal"/>
      <w:lvlText w:val="%7."/>
      <w:lvlJc w:val="left"/>
      <w:pPr>
        <w:ind w:left="5040" w:hanging="360"/>
      </w:pPr>
    </w:lvl>
    <w:lvl w:ilvl="7" w:tplc="2608C2A7">
      <w:start w:val="1"/>
      <w:numFmt w:val="decimal"/>
      <w:lvlText w:val="%8."/>
      <w:lvlJc w:val="left"/>
      <w:pPr>
        <w:ind w:left="5760" w:hanging="360"/>
      </w:pPr>
    </w:lvl>
    <w:lvl w:ilvl="8" w:tplc="59C28CEB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6EDB1DA9"/>
    <w:multiLevelType w:val="hybridMultilevel"/>
    <w:tmpl w:val="95624E88"/>
    <w:lvl w:ilvl="0" w:tplc="0A3434AE">
      <w:start w:val="5"/>
      <w:numFmt w:val="decimal"/>
      <w:lvlText w:val="%1."/>
      <w:lvlJc w:val="left"/>
      <w:pPr>
        <w:ind w:left="720" w:hanging="360"/>
      </w:pPr>
    </w:lvl>
    <w:lvl w:ilvl="1" w:tplc="77D9113D">
      <w:start w:val="1"/>
      <w:numFmt w:val="decimal"/>
      <w:lvlText w:val="%2."/>
      <w:lvlJc w:val="left"/>
      <w:pPr>
        <w:ind w:left="1440" w:hanging="360"/>
      </w:pPr>
    </w:lvl>
    <w:lvl w:ilvl="2" w:tplc="280F7AFC">
      <w:start w:val="1"/>
      <w:numFmt w:val="decimal"/>
      <w:lvlText w:val="%3."/>
      <w:lvlJc w:val="left"/>
      <w:pPr>
        <w:ind w:left="2160" w:hanging="360"/>
      </w:pPr>
    </w:lvl>
    <w:lvl w:ilvl="3" w:tplc="24AC7608">
      <w:start w:val="1"/>
      <w:numFmt w:val="decimal"/>
      <w:lvlText w:val="%4."/>
      <w:lvlJc w:val="left"/>
      <w:pPr>
        <w:ind w:left="2880" w:hanging="360"/>
      </w:pPr>
    </w:lvl>
    <w:lvl w:ilvl="4" w:tplc="2E191C80">
      <w:start w:val="1"/>
      <w:numFmt w:val="decimal"/>
      <w:lvlText w:val="%5."/>
      <w:lvlJc w:val="left"/>
      <w:pPr>
        <w:ind w:left="3600" w:hanging="360"/>
      </w:pPr>
    </w:lvl>
    <w:lvl w:ilvl="5" w:tplc="720F061B">
      <w:start w:val="1"/>
      <w:numFmt w:val="decimal"/>
      <w:lvlText w:val="%6."/>
      <w:lvlJc w:val="left"/>
      <w:pPr>
        <w:ind w:left="4320" w:hanging="360"/>
      </w:pPr>
    </w:lvl>
    <w:lvl w:ilvl="6" w:tplc="69047EC7">
      <w:start w:val="1"/>
      <w:numFmt w:val="decimal"/>
      <w:lvlText w:val="%7."/>
      <w:lvlJc w:val="left"/>
      <w:pPr>
        <w:ind w:left="5040" w:hanging="360"/>
      </w:pPr>
    </w:lvl>
    <w:lvl w:ilvl="7" w:tplc="3C6DD37C">
      <w:start w:val="1"/>
      <w:numFmt w:val="decimal"/>
      <w:lvlText w:val="%8."/>
      <w:lvlJc w:val="left"/>
      <w:pPr>
        <w:ind w:left="5760" w:hanging="360"/>
      </w:pPr>
    </w:lvl>
    <w:lvl w:ilvl="8" w:tplc="29C036D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503"/>
    <w:rsid w:val="002C0503"/>
    <w:rsid w:val="00BB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B95D4-DED4-4D07-B6AD-64566FDA6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36AEFD953BFE3B8D7F79BDDBE45C2ADD8ECBD4D3D7F888FB35889BE9A618A675C631F14921E4C0ED86D73056D17D1A43FBDB21V263F" TargetMode="External"/><Relationship Id="rId13" Type="http://schemas.openxmlformats.org/officeDocument/2006/relationships/hyperlink" Target="consultantplus://offline/ref=C5F536AEFD953BFE3B8D7F79BDDBE45C2ADD8ECBD4D3D7F888FB35889BE9A618A675C631F14921E4C0ED86D73056D17D1A43FBDB21V263F" TargetMode="External"/><Relationship Id="rId18" Type="http://schemas.openxmlformats.org/officeDocument/2006/relationships/hyperlink" Target="consultantplus://offline/ref=0E2531AFD3788F7B05C86551B1591369F585BF1A88D97FC5C1A45A67C7AD58ADE39DB55DA857D477B401297E9652BE3561E6FF60285A78FBx2C4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1440B8838A6B3B70B3DBE5D7E776504224A8BEB89256E384333CD4E8E8A437C2BBB0CC51C902D850627CE241877AEC51B921A49DD452DE9z8uDF" TargetMode="External"/><Relationship Id="rId12" Type="http://schemas.openxmlformats.org/officeDocument/2006/relationships/hyperlink" Target="consultantplus://offline/ref=84A89A89923C1A255D35A4ABC5D71262812F03978D5988164C6685F88A785589759FA1D4DC92CD02B1EF431DF143848B1AAC86A4F25Ej9J" TargetMode="External"/><Relationship Id="rId17" Type="http://schemas.openxmlformats.org/officeDocument/2006/relationships/hyperlink" Target="consultantplus://offline/ref=0E2531AFD3788F7B05C86551B1591369F585BF1A88D97FC5C1A45A67C7AD58ADE39DB55DA857D477B401297E9652BE3561E6FF60285A78FBx2C4M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87&amp;n=12592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D7F8FF91FBA9A9AD833803D0373234FFCBF6D197B3D2613EA9314A77E1FF589F06E9CC16DA041758BBE4DE3B156F3590767EBF029WE06M" TargetMode="External"/><Relationship Id="rId11" Type="http://schemas.openxmlformats.org/officeDocument/2006/relationships/hyperlink" Target="consultantplus://offline/ref=2B70F4A297CDB716C9D486DADE54556F0D840441E4B98A028837B60814A38A57864AA2FEA1D0BF3DB764938559F65D38AFA94488F43CCFFBR0IBO" TargetMode="External"/><Relationship Id="rId5" Type="http://schemas.openxmlformats.org/officeDocument/2006/relationships/hyperlink" Target="consultantplus://offline/ref=B153156185A97047DD3DB25A877E99E22308C130C7D61015CBDF3D7AC73BFFE78214C11753088F2F4E3FDA0704C340F87B3FD1AD1FACC871F08634q6gFI" TargetMode="External"/><Relationship Id="rId15" Type="http://schemas.openxmlformats.org/officeDocument/2006/relationships/hyperlink" Target="consultantplus://offline/ref=1A064DE2EF1A7D73F1094D9E74DD88691946DD2AF1C32BF751922A8DFA8B98D080BB588EB0A92FDAFB2BD2E1196B0C15859EEF0EF8SC56F" TargetMode="External"/><Relationship Id="rId10" Type="http://schemas.openxmlformats.org/officeDocument/2006/relationships/hyperlink" Target="consultantplus://offline/ref=1A064DE2EF1A7D73F1094D9E74DD88691946DD2AF1C32BF751922A8DFA8B98D080BB588EB0A92FDAFB2BD2E1196B0C15859EEF0EF8SC56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A064DE2EF1A7D73F1094D9E74DD88691946DD2AF1C32BF751922A8DFA8B98D080BB588EB0AD2FDAFB2BD2E1196B0C15859EEF0EF8SC56F" TargetMode="External"/><Relationship Id="rId14" Type="http://schemas.openxmlformats.org/officeDocument/2006/relationships/hyperlink" Target="consultantplus://offline/ref=1A064DE2EF1A7D73F1094D9E74DD88691946DD2AF1C32BF751922A8DFA8B98D080BB588EB0AD2FDAFB2BD2E1196B0C15859EEF0EF8SC56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7204</Words>
  <Characters>41066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Дермелева О.В.</dc:creator>
  <cp:lastModifiedBy>Дермелева О.В.</cp:lastModifiedBy>
  <cp:revision>2</cp:revision>
  <dcterms:created xsi:type="dcterms:W3CDTF">2024-04-23T12:08:00Z</dcterms:created>
  <dcterms:modified xsi:type="dcterms:W3CDTF">2024-04-23T12:08:00Z</dcterms:modified>
</cp:coreProperties>
</file>