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charts/chart5.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6.xml" ContentType="application/vnd.openxmlformats-officedocument.drawingml.chart+xml"/>
  <Override PartName="/word/theme/themeOverride2.xml" ContentType="application/vnd.openxmlformats-officedocument.themeOverrid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B9B" w:rsidRPr="004E1820" w:rsidRDefault="002C0B9B" w:rsidP="002C0B9B">
      <w:pPr>
        <w:pStyle w:val="1"/>
      </w:pPr>
      <w:r w:rsidRPr="004E1820">
        <w:t>Сводный годовой доклад о ходе реализации и об оценке эффективности государственных программ Мурманской области за 202</w:t>
      </w:r>
      <w:r w:rsidR="001A3AE4">
        <w:t>3</w:t>
      </w:r>
      <w:r w:rsidRPr="004E1820">
        <w:t xml:space="preserve"> год</w:t>
      </w:r>
    </w:p>
    <w:p w:rsidR="002C0B9B" w:rsidRPr="004E1820" w:rsidRDefault="002C0B9B" w:rsidP="002C0B9B">
      <w:pPr>
        <w:pStyle w:val="330"/>
        <w:shd w:val="clear" w:color="auto" w:fill="auto"/>
        <w:spacing w:before="0" w:after="0" w:line="240" w:lineRule="auto"/>
        <w:ind w:right="-1"/>
        <w:rPr>
          <w:b w:val="0"/>
          <w:sz w:val="28"/>
          <w:szCs w:val="28"/>
        </w:rPr>
      </w:pPr>
    </w:p>
    <w:p w:rsidR="005E4D6D" w:rsidRPr="004E1820" w:rsidRDefault="002C0B9B" w:rsidP="005E4D6D">
      <w:pPr>
        <w:rPr>
          <w:szCs w:val="28"/>
        </w:rPr>
      </w:pPr>
      <w:r w:rsidRPr="004E1820">
        <w:rPr>
          <w:szCs w:val="28"/>
        </w:rPr>
        <w:t xml:space="preserve">Доклад подготовлен в соответствии с Порядком разработки, реализации и оценки эффективности государственных программ Мурманской области (далее – Порядок), утвержденным </w:t>
      </w:r>
      <w:r w:rsidR="005E4D6D" w:rsidRPr="004E1820">
        <w:rPr>
          <w:szCs w:val="28"/>
        </w:rPr>
        <w:t xml:space="preserve">постановлением Правительства Мурманской области от 22.05.2018 № 232-ПП/5 </w:t>
      </w:r>
      <w:r w:rsidR="00925454">
        <w:rPr>
          <w:szCs w:val="28"/>
        </w:rPr>
        <w:t>«</w:t>
      </w:r>
      <w:r w:rsidR="005E4D6D" w:rsidRPr="004E1820">
        <w:rPr>
          <w:szCs w:val="28"/>
        </w:rPr>
        <w:t>О Порядке разработки, реализации и оценки эффективности государственных программ Мурманской области</w:t>
      </w:r>
      <w:r w:rsidR="00925454">
        <w:rPr>
          <w:szCs w:val="28"/>
        </w:rPr>
        <w:t>»</w:t>
      </w:r>
      <w:r w:rsidR="005E4D6D" w:rsidRPr="004E1820">
        <w:rPr>
          <w:szCs w:val="28"/>
        </w:rPr>
        <w:t>, на основании сведений, представленных ответственными исполнителями государственных программ Мурманской области.</w:t>
      </w:r>
    </w:p>
    <w:p w:rsidR="00025909" w:rsidRDefault="00025909" w:rsidP="002C0B9B">
      <w:pPr>
        <w:pStyle w:val="330"/>
        <w:shd w:val="clear" w:color="auto" w:fill="auto"/>
        <w:spacing w:before="0" w:after="0" w:line="240" w:lineRule="auto"/>
        <w:ind w:right="-1"/>
        <w:rPr>
          <w:rFonts w:eastAsia="Times New Roman" w:cs="Times New Roman"/>
          <w:b w:val="0"/>
          <w:bCs w:val="0"/>
          <w:sz w:val="28"/>
          <w:szCs w:val="28"/>
          <w:lang w:eastAsia="ru-RU"/>
        </w:rPr>
      </w:pPr>
      <w:r w:rsidRPr="00025909">
        <w:rPr>
          <w:rFonts w:eastAsia="Times New Roman" w:cs="Times New Roman"/>
          <w:b w:val="0"/>
          <w:bCs w:val="0"/>
          <w:sz w:val="28"/>
          <w:szCs w:val="28"/>
          <w:lang w:eastAsia="ru-RU"/>
        </w:rPr>
        <w:t>В соответствии с пунктом 12.11 Порядка ответственные исполнители государственных программ с учетом информации, полученной от соисполнителей и участников государственных программ, проводят оценку эффективности реализации государственных программ за отчетный год в соответствии с Методикой оценки эффективности государственных программ Мурманской области, установленной в приложении № 4 к Порядку, формируют Годовой отчет и не позднее 20 марта года, следующего за отчетным, направляют его в Министерство развития Арктики и экономики Мурманской области, Министерство финансов Мурманской области и размещают на своем официальном сайте в сети Интернет.</w:t>
      </w:r>
    </w:p>
    <w:p w:rsidR="002C0B9B" w:rsidRPr="004E1820" w:rsidRDefault="002C0B9B" w:rsidP="002C0B9B">
      <w:pPr>
        <w:pStyle w:val="330"/>
        <w:shd w:val="clear" w:color="auto" w:fill="auto"/>
        <w:spacing w:before="0" w:after="0" w:line="240" w:lineRule="auto"/>
        <w:ind w:right="-1"/>
        <w:rPr>
          <w:rFonts w:eastAsia="Times New Roman"/>
          <w:bCs w:val="0"/>
          <w:sz w:val="28"/>
          <w:szCs w:val="22"/>
        </w:rPr>
      </w:pPr>
      <w:r w:rsidRPr="004E1820">
        <w:rPr>
          <w:rFonts w:eastAsia="Times New Roman"/>
          <w:bCs w:val="0"/>
          <w:sz w:val="28"/>
          <w:szCs w:val="22"/>
        </w:rPr>
        <w:t>1. Уровень достижения показателей</w:t>
      </w:r>
    </w:p>
    <w:p w:rsidR="00A66E8D" w:rsidRPr="004E1820" w:rsidRDefault="00A951A0" w:rsidP="00A66E8D">
      <w:pPr>
        <w:pStyle w:val="330"/>
        <w:shd w:val="clear" w:color="auto" w:fill="auto"/>
        <w:spacing w:before="0" w:after="0" w:line="240" w:lineRule="auto"/>
        <w:ind w:right="-1"/>
        <w:rPr>
          <w:rFonts w:eastAsia="Times New Roman"/>
          <w:b w:val="0"/>
          <w:bCs w:val="0"/>
          <w:sz w:val="28"/>
          <w:szCs w:val="22"/>
        </w:rPr>
      </w:pPr>
      <w:r>
        <w:rPr>
          <w:rFonts w:eastAsia="Times New Roman"/>
          <w:b w:val="0"/>
          <w:bCs w:val="0"/>
          <w:sz w:val="28"/>
          <w:szCs w:val="22"/>
        </w:rPr>
        <w:t>Всего по 15</w:t>
      </w:r>
      <w:r w:rsidR="00A66E8D" w:rsidRPr="004E1820">
        <w:rPr>
          <w:rFonts w:eastAsia="Times New Roman"/>
          <w:b w:val="0"/>
          <w:bCs w:val="0"/>
          <w:sz w:val="28"/>
          <w:szCs w:val="22"/>
        </w:rPr>
        <w:t xml:space="preserve"> государственным программам в 202</w:t>
      </w:r>
      <w:r>
        <w:rPr>
          <w:rFonts w:eastAsia="Times New Roman"/>
          <w:b w:val="0"/>
          <w:bCs w:val="0"/>
          <w:sz w:val="28"/>
          <w:szCs w:val="22"/>
        </w:rPr>
        <w:t>3</w:t>
      </w:r>
      <w:r w:rsidR="00A66E8D" w:rsidRPr="004E1820">
        <w:rPr>
          <w:rFonts w:eastAsia="Times New Roman"/>
          <w:b w:val="0"/>
          <w:bCs w:val="0"/>
          <w:sz w:val="28"/>
          <w:szCs w:val="22"/>
        </w:rPr>
        <w:t xml:space="preserve"> году были предусмотрены к достижению</w:t>
      </w:r>
      <w:r>
        <w:rPr>
          <w:rFonts w:eastAsia="Times New Roman"/>
          <w:b w:val="0"/>
          <w:bCs w:val="0"/>
          <w:sz w:val="28"/>
          <w:szCs w:val="22"/>
        </w:rPr>
        <w:t xml:space="preserve"> 414</w:t>
      </w:r>
      <w:r w:rsidR="00A66E8D" w:rsidRPr="004E1820">
        <w:rPr>
          <w:rFonts w:eastAsia="Times New Roman"/>
          <w:b w:val="0"/>
          <w:bCs w:val="0"/>
          <w:sz w:val="28"/>
          <w:szCs w:val="22"/>
        </w:rPr>
        <w:t xml:space="preserve"> показателей (</w:t>
      </w:r>
      <w:r>
        <w:rPr>
          <w:rFonts w:eastAsia="Times New Roman"/>
          <w:b w:val="0"/>
          <w:bCs w:val="0"/>
          <w:sz w:val="28"/>
          <w:szCs w:val="22"/>
        </w:rPr>
        <w:t>в 2022</w:t>
      </w:r>
      <w:r w:rsidR="00237BF1" w:rsidRPr="004E1820">
        <w:rPr>
          <w:rFonts w:eastAsia="Times New Roman"/>
          <w:b w:val="0"/>
          <w:bCs w:val="0"/>
          <w:sz w:val="28"/>
          <w:szCs w:val="22"/>
        </w:rPr>
        <w:t xml:space="preserve"> году – 4</w:t>
      </w:r>
      <w:r>
        <w:rPr>
          <w:rFonts w:eastAsia="Times New Roman"/>
          <w:b w:val="0"/>
          <w:bCs w:val="0"/>
          <w:sz w:val="28"/>
          <w:szCs w:val="22"/>
        </w:rPr>
        <w:t>19</w:t>
      </w:r>
      <w:r w:rsidR="00237BF1" w:rsidRPr="004E1820">
        <w:rPr>
          <w:rFonts w:eastAsia="Times New Roman"/>
          <w:b w:val="0"/>
          <w:bCs w:val="0"/>
          <w:sz w:val="28"/>
          <w:szCs w:val="22"/>
        </w:rPr>
        <w:t xml:space="preserve">, </w:t>
      </w:r>
      <w:r w:rsidR="00A66E8D" w:rsidRPr="004E1820">
        <w:rPr>
          <w:rFonts w:eastAsia="Times New Roman"/>
          <w:b w:val="0"/>
          <w:bCs w:val="0"/>
          <w:sz w:val="28"/>
          <w:szCs w:val="22"/>
        </w:rPr>
        <w:t>в 202</w:t>
      </w:r>
      <w:r>
        <w:rPr>
          <w:rFonts w:eastAsia="Times New Roman"/>
          <w:b w:val="0"/>
          <w:bCs w:val="0"/>
          <w:sz w:val="28"/>
          <w:szCs w:val="22"/>
        </w:rPr>
        <w:t>1</w:t>
      </w:r>
      <w:r w:rsidR="00237BF1" w:rsidRPr="004E1820">
        <w:rPr>
          <w:rFonts w:eastAsia="Times New Roman"/>
          <w:b w:val="0"/>
          <w:bCs w:val="0"/>
          <w:sz w:val="28"/>
          <w:szCs w:val="22"/>
        </w:rPr>
        <w:t xml:space="preserve"> году – </w:t>
      </w:r>
      <w:r>
        <w:rPr>
          <w:rFonts w:eastAsia="Times New Roman"/>
          <w:b w:val="0"/>
          <w:bCs w:val="0"/>
          <w:sz w:val="28"/>
          <w:szCs w:val="22"/>
        </w:rPr>
        <w:t>406</w:t>
      </w:r>
      <w:r w:rsidR="00A66E8D" w:rsidRPr="004E1820">
        <w:rPr>
          <w:rFonts w:eastAsia="Times New Roman"/>
          <w:b w:val="0"/>
          <w:bCs w:val="0"/>
          <w:sz w:val="28"/>
          <w:szCs w:val="22"/>
        </w:rPr>
        <w:t>), из которых (рисунок 1):</w:t>
      </w:r>
    </w:p>
    <w:p w:rsidR="00A66E8D" w:rsidRPr="004E1820" w:rsidRDefault="00A66E8D" w:rsidP="00A66E8D">
      <w:pPr>
        <w:pStyle w:val="330"/>
        <w:numPr>
          <w:ilvl w:val="0"/>
          <w:numId w:val="1"/>
        </w:numPr>
        <w:shd w:val="clear" w:color="auto" w:fill="auto"/>
        <w:tabs>
          <w:tab w:val="left" w:pos="1276"/>
        </w:tabs>
        <w:spacing w:before="0" w:after="0" w:line="240" w:lineRule="auto"/>
        <w:ind w:left="0" w:right="-1" w:firstLine="709"/>
        <w:rPr>
          <w:rFonts w:eastAsia="Times New Roman"/>
          <w:b w:val="0"/>
          <w:bCs w:val="0"/>
          <w:sz w:val="28"/>
          <w:szCs w:val="22"/>
        </w:rPr>
      </w:pPr>
      <w:r w:rsidRPr="004E1820">
        <w:rPr>
          <w:rFonts w:eastAsia="Times New Roman"/>
          <w:b w:val="0"/>
          <w:bCs w:val="0"/>
          <w:sz w:val="28"/>
          <w:szCs w:val="22"/>
        </w:rPr>
        <w:t>имеют высокую степень до</w:t>
      </w:r>
      <w:r w:rsidR="00DD2C83">
        <w:rPr>
          <w:rFonts w:eastAsia="Times New Roman"/>
          <w:b w:val="0"/>
          <w:bCs w:val="0"/>
          <w:sz w:val="28"/>
          <w:szCs w:val="22"/>
        </w:rPr>
        <w:t>стижения (от 99,5 до 150%) – 264 (63</w:t>
      </w:r>
      <w:r w:rsidRPr="004E1820">
        <w:rPr>
          <w:rFonts w:eastAsia="Times New Roman"/>
          <w:b w:val="0"/>
          <w:bCs w:val="0"/>
          <w:sz w:val="28"/>
          <w:szCs w:val="22"/>
        </w:rPr>
        <w:t>,</w:t>
      </w:r>
      <w:r w:rsidR="00DD2C83">
        <w:rPr>
          <w:rFonts w:eastAsia="Times New Roman"/>
          <w:b w:val="0"/>
          <w:bCs w:val="0"/>
          <w:sz w:val="28"/>
          <w:szCs w:val="22"/>
        </w:rPr>
        <w:t>8</w:t>
      </w:r>
      <w:r w:rsidRPr="004E1820">
        <w:rPr>
          <w:rFonts w:eastAsia="Times New Roman"/>
          <w:b w:val="0"/>
          <w:bCs w:val="0"/>
          <w:sz w:val="28"/>
          <w:szCs w:val="22"/>
        </w:rPr>
        <w:t> % от общего числа показателей);</w:t>
      </w:r>
    </w:p>
    <w:p w:rsidR="00A66E8D" w:rsidRPr="004E1820" w:rsidRDefault="00A66E8D" w:rsidP="00A66E8D">
      <w:pPr>
        <w:pStyle w:val="330"/>
        <w:numPr>
          <w:ilvl w:val="0"/>
          <w:numId w:val="1"/>
        </w:numPr>
        <w:shd w:val="clear" w:color="auto" w:fill="auto"/>
        <w:tabs>
          <w:tab w:val="left" w:pos="1276"/>
        </w:tabs>
        <w:spacing w:before="0" w:after="0" w:line="240" w:lineRule="auto"/>
        <w:ind w:left="0" w:right="-1" w:firstLine="709"/>
        <w:rPr>
          <w:rFonts w:eastAsia="Times New Roman"/>
          <w:b w:val="0"/>
          <w:bCs w:val="0"/>
          <w:sz w:val="28"/>
          <w:szCs w:val="22"/>
        </w:rPr>
      </w:pPr>
      <w:r w:rsidRPr="004E1820">
        <w:rPr>
          <w:rFonts w:eastAsia="Times New Roman"/>
          <w:b w:val="0"/>
          <w:bCs w:val="0"/>
          <w:sz w:val="28"/>
          <w:szCs w:val="22"/>
        </w:rPr>
        <w:t>значительно</w:t>
      </w:r>
      <w:r w:rsidR="00DD2C83">
        <w:rPr>
          <w:rFonts w:eastAsia="Times New Roman"/>
          <w:b w:val="0"/>
          <w:bCs w:val="0"/>
          <w:sz w:val="28"/>
          <w:szCs w:val="22"/>
        </w:rPr>
        <w:t xml:space="preserve"> перевыполнены (более 150%) – 4</w:t>
      </w:r>
      <w:r w:rsidR="00751926">
        <w:rPr>
          <w:rFonts w:eastAsia="Times New Roman"/>
          <w:b w:val="0"/>
          <w:bCs w:val="0"/>
          <w:sz w:val="28"/>
          <w:szCs w:val="22"/>
        </w:rPr>
        <w:t>5</w:t>
      </w:r>
      <w:r w:rsidR="00237BF1" w:rsidRPr="004E1820">
        <w:rPr>
          <w:rFonts w:eastAsia="Times New Roman"/>
          <w:b w:val="0"/>
          <w:bCs w:val="0"/>
          <w:sz w:val="28"/>
          <w:szCs w:val="22"/>
        </w:rPr>
        <w:t xml:space="preserve"> (1</w:t>
      </w:r>
      <w:r w:rsidR="00DD2C83">
        <w:rPr>
          <w:rFonts w:eastAsia="Times New Roman"/>
          <w:b w:val="0"/>
          <w:bCs w:val="0"/>
          <w:sz w:val="28"/>
          <w:szCs w:val="22"/>
        </w:rPr>
        <w:t>0</w:t>
      </w:r>
      <w:r w:rsidR="00237BF1" w:rsidRPr="004E1820">
        <w:rPr>
          <w:rFonts w:eastAsia="Times New Roman"/>
          <w:b w:val="0"/>
          <w:bCs w:val="0"/>
          <w:sz w:val="28"/>
          <w:szCs w:val="22"/>
        </w:rPr>
        <w:t>,</w:t>
      </w:r>
      <w:r w:rsidR="00DD2C83">
        <w:rPr>
          <w:rFonts w:eastAsia="Times New Roman"/>
          <w:b w:val="0"/>
          <w:bCs w:val="0"/>
          <w:sz w:val="28"/>
          <w:szCs w:val="22"/>
        </w:rPr>
        <w:t>9</w:t>
      </w:r>
      <w:r w:rsidRPr="004E1820">
        <w:rPr>
          <w:rFonts w:eastAsia="Times New Roman"/>
          <w:b w:val="0"/>
          <w:bCs w:val="0"/>
          <w:sz w:val="28"/>
          <w:szCs w:val="22"/>
        </w:rPr>
        <w:t> %);</w:t>
      </w:r>
    </w:p>
    <w:p w:rsidR="00A66E8D" w:rsidRPr="004E1820" w:rsidRDefault="00A66E8D" w:rsidP="00A66E8D">
      <w:pPr>
        <w:pStyle w:val="330"/>
        <w:numPr>
          <w:ilvl w:val="0"/>
          <w:numId w:val="1"/>
        </w:numPr>
        <w:shd w:val="clear" w:color="auto" w:fill="auto"/>
        <w:tabs>
          <w:tab w:val="left" w:pos="1276"/>
        </w:tabs>
        <w:spacing w:before="0" w:after="0" w:line="240" w:lineRule="auto"/>
        <w:ind w:left="0" w:right="-1" w:firstLine="709"/>
        <w:rPr>
          <w:rFonts w:eastAsia="Times New Roman"/>
          <w:b w:val="0"/>
          <w:bCs w:val="0"/>
          <w:sz w:val="28"/>
          <w:szCs w:val="22"/>
        </w:rPr>
      </w:pPr>
      <w:r w:rsidRPr="004E1820">
        <w:rPr>
          <w:rFonts w:eastAsia="Times New Roman"/>
          <w:b w:val="0"/>
          <w:bCs w:val="0"/>
          <w:sz w:val="28"/>
          <w:szCs w:val="22"/>
        </w:rPr>
        <w:t>имеют среднюю степень достижения (от 85 до 99</w:t>
      </w:r>
      <w:r w:rsidR="00DD2C83">
        <w:rPr>
          <w:rFonts w:eastAsia="Times New Roman"/>
          <w:b w:val="0"/>
          <w:bCs w:val="0"/>
          <w:sz w:val="28"/>
          <w:szCs w:val="22"/>
        </w:rPr>
        <w:t>,5%) – 31 (7</w:t>
      </w:r>
      <w:r w:rsidR="00237BF1" w:rsidRPr="004E1820">
        <w:rPr>
          <w:rFonts w:eastAsia="Times New Roman"/>
          <w:b w:val="0"/>
          <w:bCs w:val="0"/>
          <w:sz w:val="28"/>
          <w:szCs w:val="22"/>
        </w:rPr>
        <w:t>,</w:t>
      </w:r>
      <w:r w:rsidR="00DD2C83">
        <w:rPr>
          <w:rFonts w:eastAsia="Times New Roman"/>
          <w:b w:val="0"/>
          <w:bCs w:val="0"/>
          <w:sz w:val="28"/>
          <w:szCs w:val="22"/>
        </w:rPr>
        <w:t>5</w:t>
      </w:r>
      <w:r w:rsidRPr="004E1820">
        <w:rPr>
          <w:rFonts w:eastAsia="Times New Roman"/>
          <w:b w:val="0"/>
          <w:bCs w:val="0"/>
          <w:sz w:val="28"/>
          <w:szCs w:val="22"/>
        </w:rPr>
        <w:t> %);</w:t>
      </w:r>
    </w:p>
    <w:p w:rsidR="00A66E8D" w:rsidRPr="004E1820" w:rsidRDefault="00A66E8D" w:rsidP="00A66E8D">
      <w:pPr>
        <w:pStyle w:val="330"/>
        <w:numPr>
          <w:ilvl w:val="0"/>
          <w:numId w:val="1"/>
        </w:numPr>
        <w:shd w:val="clear" w:color="auto" w:fill="auto"/>
        <w:tabs>
          <w:tab w:val="left" w:pos="1276"/>
        </w:tabs>
        <w:spacing w:before="0" w:after="0" w:line="240" w:lineRule="auto"/>
        <w:ind w:left="0" w:right="-1" w:firstLine="709"/>
        <w:rPr>
          <w:rFonts w:eastAsia="Times New Roman"/>
          <w:b w:val="0"/>
          <w:bCs w:val="0"/>
          <w:sz w:val="28"/>
          <w:szCs w:val="22"/>
        </w:rPr>
      </w:pPr>
      <w:r w:rsidRPr="004E1820">
        <w:rPr>
          <w:rFonts w:eastAsia="Times New Roman"/>
          <w:b w:val="0"/>
          <w:bCs w:val="0"/>
          <w:sz w:val="28"/>
          <w:szCs w:val="22"/>
        </w:rPr>
        <w:t>имеют низкую ст</w:t>
      </w:r>
      <w:r w:rsidR="00237BF1" w:rsidRPr="004E1820">
        <w:rPr>
          <w:rFonts w:eastAsia="Times New Roman"/>
          <w:b w:val="0"/>
          <w:bCs w:val="0"/>
          <w:sz w:val="28"/>
          <w:szCs w:val="22"/>
        </w:rPr>
        <w:t xml:space="preserve">епень достижения (ниже 85%) – </w:t>
      </w:r>
      <w:r w:rsidR="00DD2C83">
        <w:rPr>
          <w:rFonts w:eastAsia="Times New Roman"/>
          <w:b w:val="0"/>
          <w:bCs w:val="0"/>
          <w:sz w:val="28"/>
          <w:szCs w:val="22"/>
        </w:rPr>
        <w:t>36 (8</w:t>
      </w:r>
      <w:r w:rsidR="00237BF1" w:rsidRPr="004E1820">
        <w:rPr>
          <w:rFonts w:eastAsia="Times New Roman"/>
          <w:b w:val="0"/>
          <w:bCs w:val="0"/>
          <w:sz w:val="28"/>
          <w:szCs w:val="22"/>
        </w:rPr>
        <w:t>,7</w:t>
      </w:r>
      <w:r w:rsidRPr="004E1820">
        <w:rPr>
          <w:rFonts w:eastAsia="Times New Roman"/>
          <w:b w:val="0"/>
          <w:bCs w:val="0"/>
          <w:sz w:val="28"/>
          <w:szCs w:val="22"/>
        </w:rPr>
        <w:t> %).</w:t>
      </w:r>
    </w:p>
    <w:p w:rsidR="00237BF1" w:rsidRPr="004E1820" w:rsidRDefault="00237BF1" w:rsidP="00237BF1">
      <w:r w:rsidRPr="004E1820">
        <w:rPr>
          <w:b/>
        </w:rPr>
        <w:t>Средний уровень достижения показателей по всем государственным программам за 202</w:t>
      </w:r>
      <w:r w:rsidR="00DD2C83">
        <w:rPr>
          <w:b/>
        </w:rPr>
        <w:t>3</w:t>
      </w:r>
      <w:r w:rsidRPr="004E1820">
        <w:rPr>
          <w:b/>
        </w:rPr>
        <w:t xml:space="preserve"> год составил 94,</w:t>
      </w:r>
      <w:r w:rsidR="00DD2C83">
        <w:rPr>
          <w:b/>
        </w:rPr>
        <w:t>1</w:t>
      </w:r>
      <w:r w:rsidRPr="004E1820">
        <w:rPr>
          <w:b/>
        </w:rPr>
        <w:t xml:space="preserve"> % </w:t>
      </w:r>
      <w:r w:rsidR="00DD2C83">
        <w:t>(в 2022 году – 94</w:t>
      </w:r>
      <w:r w:rsidRPr="004E1820">
        <w:t>,</w:t>
      </w:r>
      <w:r w:rsidR="00DD2C83">
        <w:t>7</w:t>
      </w:r>
      <w:r w:rsidRPr="004E1820">
        <w:t xml:space="preserve"> %).</w:t>
      </w:r>
    </w:p>
    <w:p w:rsidR="00237BF1" w:rsidRPr="004E1820" w:rsidRDefault="00237BF1" w:rsidP="00237BF1">
      <w:r w:rsidRPr="004E1820">
        <w:rPr>
          <w:b/>
        </w:rPr>
        <w:t>Средняя динам</w:t>
      </w:r>
      <w:r w:rsidR="00DD2C83">
        <w:rPr>
          <w:b/>
        </w:rPr>
        <w:t>ика значений показателей за 2023</w:t>
      </w:r>
      <w:r w:rsidRPr="004E1820">
        <w:rPr>
          <w:b/>
        </w:rPr>
        <w:t xml:space="preserve"> год составила 10</w:t>
      </w:r>
      <w:r w:rsidR="00DD2C83">
        <w:rPr>
          <w:b/>
        </w:rPr>
        <w:t>2</w:t>
      </w:r>
      <w:r w:rsidRPr="004E1820">
        <w:rPr>
          <w:b/>
        </w:rPr>
        <w:t>,</w:t>
      </w:r>
      <w:r w:rsidR="00DD2C83">
        <w:rPr>
          <w:b/>
        </w:rPr>
        <w:t>4</w:t>
      </w:r>
      <w:r w:rsidRPr="004E1820">
        <w:rPr>
          <w:b/>
        </w:rPr>
        <w:t xml:space="preserve"> % </w:t>
      </w:r>
      <w:r w:rsidRPr="004E1820">
        <w:t>(202</w:t>
      </w:r>
      <w:r w:rsidR="00531375" w:rsidRPr="00B54514">
        <w:t>2</w:t>
      </w:r>
      <w:r w:rsidRPr="004E1820">
        <w:t xml:space="preserve"> год – 10</w:t>
      </w:r>
      <w:r w:rsidR="00DD2C83">
        <w:t>3</w:t>
      </w:r>
      <w:r w:rsidRPr="004E1820">
        <w:t>,</w:t>
      </w:r>
      <w:r w:rsidR="00DD2C83">
        <w:t>2</w:t>
      </w:r>
      <w:r w:rsidRPr="004E1820">
        <w:t xml:space="preserve"> %).</w:t>
      </w:r>
    </w:p>
    <w:p w:rsidR="005B5924" w:rsidRPr="004E1820" w:rsidRDefault="005B5924" w:rsidP="005B5924">
      <w:r w:rsidRPr="004E1820">
        <w:t xml:space="preserve">По причине отсутствия фактических значений на момент подготовки доклада по </w:t>
      </w:r>
      <w:r w:rsidR="00297EB1">
        <w:t>38 показателям</w:t>
      </w:r>
      <w:r w:rsidRPr="004E1820">
        <w:t xml:space="preserve"> указаны предварительные или оценочные данные (не участвуют в оценке).</w:t>
      </w:r>
    </w:p>
    <w:p w:rsidR="00025909" w:rsidRDefault="00025909" w:rsidP="005B5924">
      <w:r w:rsidRPr="00025909">
        <w:t>Основными причинами низкой или средней степени достижения ряда показателей государственных программ являются: невыполнение в установленные сроки соответствующих мероприятий или их перенос; изменение параметров, используемых в расчете показателей государственных программ, влияние на которые отсутствует или не значительно (внешние факторы); качество планирования плановых значений отдельных показателе</w:t>
      </w:r>
      <w:r>
        <w:t>й, требующее совершенствования.</w:t>
      </w:r>
    </w:p>
    <w:p w:rsidR="005B5924" w:rsidRDefault="005B5924" w:rsidP="005B5924">
      <w:r w:rsidRPr="004E1820">
        <w:t>Сведения о достижении значений показателей государственных программ Мурманской области за 202</w:t>
      </w:r>
      <w:r w:rsidR="00946242">
        <w:t>3</w:t>
      </w:r>
      <w:r w:rsidRPr="004E1820">
        <w:t xml:space="preserve"> год приведены в приложении №1.</w:t>
      </w:r>
    </w:p>
    <w:p w:rsidR="00272AD1" w:rsidRDefault="00272AD1" w:rsidP="00272AD1">
      <w:pPr>
        <w:ind w:firstLine="0"/>
      </w:pPr>
      <w:r>
        <w:rPr>
          <w:noProof/>
        </w:rPr>
        <w:lastRenderedPageBreak/>
        <w:drawing>
          <wp:inline distT="0" distB="0" distL="0" distR="0" wp14:anchorId="41788DE2" wp14:editId="3FD1EE98">
            <wp:extent cx="6120130" cy="3343275"/>
            <wp:effectExtent l="0" t="0" r="0" b="0"/>
            <wp:docPr id="3" name="Диаграмма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72AD1" w:rsidRPr="004E1820" w:rsidRDefault="00272AD1" w:rsidP="00272AD1">
      <w:pPr>
        <w:ind w:firstLine="0"/>
        <w:jc w:val="center"/>
        <w:rPr>
          <w:sz w:val="24"/>
          <w:szCs w:val="28"/>
        </w:rPr>
      </w:pPr>
      <w:r w:rsidRPr="004E1820">
        <w:rPr>
          <w:sz w:val="24"/>
          <w:szCs w:val="28"/>
        </w:rPr>
        <w:t>Рисунок 1</w:t>
      </w:r>
    </w:p>
    <w:p w:rsidR="00272AD1" w:rsidRDefault="00272AD1" w:rsidP="005B5924"/>
    <w:p w:rsidR="005B5924" w:rsidRDefault="00240DDF" w:rsidP="00240DDF">
      <w:r w:rsidRPr="004E1820">
        <w:t>В результате анализа динамики значений показателей по сравнению с 202</w:t>
      </w:r>
      <w:r w:rsidR="00946242">
        <w:t>2</w:t>
      </w:r>
      <w:r w:rsidRPr="004E1820">
        <w:t xml:space="preserve"> годом установлено, что только по </w:t>
      </w:r>
      <w:r w:rsidR="00946242">
        <w:t>121</w:t>
      </w:r>
      <w:r w:rsidRPr="004E1820">
        <w:t xml:space="preserve"> показател</w:t>
      </w:r>
      <w:r w:rsidR="00946242">
        <w:t>ю</w:t>
      </w:r>
      <w:r w:rsidRPr="004E1820">
        <w:t xml:space="preserve"> отмечается улучшение значений (</w:t>
      </w:r>
      <w:r w:rsidR="00946242">
        <w:t>49,6 % из 24</w:t>
      </w:r>
      <w:r w:rsidRPr="004E1820">
        <w:t>4 показателей, по которым оценивается</w:t>
      </w:r>
      <w:r w:rsidR="00946242">
        <w:t xml:space="preserve"> динамика), у 71</w:t>
      </w:r>
      <w:r w:rsidRPr="004E1820">
        <w:t> </w:t>
      </w:r>
      <w:r w:rsidR="00946242">
        <w:t>показателя (29,1</w:t>
      </w:r>
      <w:r w:rsidRPr="004E1820">
        <w:t> %) значения сохранились на уровне 202</w:t>
      </w:r>
      <w:r w:rsidR="00946242">
        <w:t>2</w:t>
      </w:r>
      <w:r w:rsidRPr="004E1820">
        <w:t xml:space="preserve"> года (в диапазоне от 99 до 101%), по 5</w:t>
      </w:r>
      <w:r w:rsidR="00946242">
        <w:t>2 показателям (21</w:t>
      </w:r>
      <w:r w:rsidRPr="004E1820">
        <w:t>,3 %) значения ухудшились (рисунок 2).</w:t>
      </w:r>
    </w:p>
    <w:p w:rsidR="00272AD1" w:rsidRDefault="00272AD1" w:rsidP="00240DDF"/>
    <w:p w:rsidR="00272AD1" w:rsidRDefault="00272AD1" w:rsidP="00272AD1">
      <w:pPr>
        <w:ind w:firstLine="0"/>
      </w:pPr>
      <w:r>
        <w:rPr>
          <w:noProof/>
        </w:rPr>
        <w:drawing>
          <wp:inline distT="0" distB="0" distL="0" distR="0" wp14:anchorId="04FFFCE3" wp14:editId="56CF9812">
            <wp:extent cx="6120130" cy="3257550"/>
            <wp:effectExtent l="0" t="0" r="0" b="0"/>
            <wp:docPr id="1" name="Диаграмма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72AD1" w:rsidRPr="004E1820" w:rsidRDefault="00272AD1" w:rsidP="00272AD1">
      <w:pPr>
        <w:ind w:firstLine="0"/>
        <w:jc w:val="center"/>
        <w:rPr>
          <w:sz w:val="24"/>
          <w:szCs w:val="28"/>
        </w:rPr>
      </w:pPr>
      <w:r w:rsidRPr="004E1820">
        <w:rPr>
          <w:sz w:val="24"/>
          <w:szCs w:val="28"/>
        </w:rPr>
        <w:t>Рисунок 2</w:t>
      </w:r>
    </w:p>
    <w:p w:rsidR="002C0B9B" w:rsidRPr="004E1820" w:rsidRDefault="002C0B9B" w:rsidP="00132F79">
      <w:pPr>
        <w:pageBreakBefore/>
        <w:rPr>
          <w:b/>
        </w:rPr>
      </w:pPr>
      <w:r w:rsidRPr="004E1820">
        <w:rPr>
          <w:b/>
        </w:rPr>
        <w:lastRenderedPageBreak/>
        <w:t>2. Реализация мероприятий</w:t>
      </w:r>
    </w:p>
    <w:p w:rsidR="002C0B9B" w:rsidRPr="004E1820" w:rsidRDefault="002C0B9B" w:rsidP="002C0B9B">
      <w:pPr>
        <w:rPr>
          <w:szCs w:val="28"/>
        </w:rPr>
      </w:pPr>
      <w:r w:rsidRPr="004E1820">
        <w:rPr>
          <w:szCs w:val="28"/>
        </w:rPr>
        <w:t>По всем государственным программам в 202</w:t>
      </w:r>
      <w:r w:rsidR="004B0465">
        <w:rPr>
          <w:szCs w:val="28"/>
        </w:rPr>
        <w:t>3</w:t>
      </w:r>
      <w:r w:rsidRPr="004E1820">
        <w:rPr>
          <w:szCs w:val="28"/>
        </w:rPr>
        <w:t xml:space="preserve"> году планировалось выполнить </w:t>
      </w:r>
      <w:r w:rsidR="0000568A" w:rsidRPr="004E1820">
        <w:rPr>
          <w:szCs w:val="28"/>
        </w:rPr>
        <w:t>1</w:t>
      </w:r>
      <w:r w:rsidR="00526B81">
        <w:rPr>
          <w:szCs w:val="28"/>
        </w:rPr>
        <w:t>050</w:t>
      </w:r>
      <w:r w:rsidRPr="004E1820">
        <w:rPr>
          <w:szCs w:val="28"/>
        </w:rPr>
        <w:t xml:space="preserve"> мероприяти</w:t>
      </w:r>
      <w:r w:rsidR="0000568A" w:rsidRPr="004E1820">
        <w:rPr>
          <w:szCs w:val="28"/>
        </w:rPr>
        <w:t>й</w:t>
      </w:r>
      <w:r w:rsidRPr="004E1820">
        <w:rPr>
          <w:szCs w:val="28"/>
        </w:rPr>
        <w:t xml:space="preserve">, из них в полном объеме выполнено </w:t>
      </w:r>
      <w:r w:rsidR="0000568A" w:rsidRPr="004E1820">
        <w:rPr>
          <w:szCs w:val="28"/>
        </w:rPr>
        <w:t>8</w:t>
      </w:r>
      <w:r w:rsidR="00526B81">
        <w:rPr>
          <w:szCs w:val="28"/>
        </w:rPr>
        <w:t>42</w:t>
      </w:r>
      <w:r w:rsidR="005B5924" w:rsidRPr="004E1820">
        <w:rPr>
          <w:szCs w:val="28"/>
        </w:rPr>
        <w:t xml:space="preserve"> </w:t>
      </w:r>
      <w:r w:rsidRPr="004E1820">
        <w:rPr>
          <w:szCs w:val="28"/>
        </w:rPr>
        <w:t>мероприяти</w:t>
      </w:r>
      <w:r w:rsidR="005B5924" w:rsidRPr="004E1820">
        <w:rPr>
          <w:szCs w:val="28"/>
        </w:rPr>
        <w:t>е</w:t>
      </w:r>
      <w:r w:rsidRPr="004E1820">
        <w:rPr>
          <w:szCs w:val="28"/>
        </w:rPr>
        <w:t xml:space="preserve"> (</w:t>
      </w:r>
      <w:r w:rsidR="00526B81">
        <w:rPr>
          <w:szCs w:val="28"/>
        </w:rPr>
        <w:t>80</w:t>
      </w:r>
      <w:r w:rsidR="0000568A" w:rsidRPr="004E1820">
        <w:rPr>
          <w:szCs w:val="28"/>
        </w:rPr>
        <w:t>,</w:t>
      </w:r>
      <w:r w:rsidR="00526B81">
        <w:rPr>
          <w:szCs w:val="28"/>
        </w:rPr>
        <w:t>2</w:t>
      </w:r>
      <w:r w:rsidR="009B1872" w:rsidRPr="004E1820">
        <w:rPr>
          <w:szCs w:val="28"/>
        </w:rPr>
        <w:t> </w:t>
      </w:r>
      <w:r w:rsidRPr="004E1820">
        <w:rPr>
          <w:szCs w:val="28"/>
        </w:rPr>
        <w:t xml:space="preserve">%), частично – </w:t>
      </w:r>
      <w:r w:rsidR="00526B81">
        <w:rPr>
          <w:szCs w:val="28"/>
        </w:rPr>
        <w:t>157</w:t>
      </w:r>
      <w:r w:rsidRPr="004E1820">
        <w:rPr>
          <w:szCs w:val="28"/>
        </w:rPr>
        <w:t xml:space="preserve"> (</w:t>
      </w:r>
      <w:r w:rsidR="00E36C8F">
        <w:rPr>
          <w:szCs w:val="28"/>
        </w:rPr>
        <w:t>14</w:t>
      </w:r>
      <w:r w:rsidR="0000568A" w:rsidRPr="004E1820">
        <w:rPr>
          <w:szCs w:val="28"/>
        </w:rPr>
        <w:t>,</w:t>
      </w:r>
      <w:r w:rsidR="00E36C8F">
        <w:rPr>
          <w:szCs w:val="28"/>
        </w:rPr>
        <w:t>95</w:t>
      </w:r>
      <w:r w:rsidR="009B1872" w:rsidRPr="004E1820">
        <w:rPr>
          <w:szCs w:val="28"/>
        </w:rPr>
        <w:t> </w:t>
      </w:r>
      <w:r w:rsidRPr="004E1820">
        <w:rPr>
          <w:szCs w:val="28"/>
        </w:rPr>
        <w:t xml:space="preserve">%), не выполнено – </w:t>
      </w:r>
      <w:r w:rsidR="00526B81">
        <w:rPr>
          <w:szCs w:val="28"/>
        </w:rPr>
        <w:t>51</w:t>
      </w:r>
      <w:r w:rsidRPr="004E1820">
        <w:rPr>
          <w:szCs w:val="28"/>
        </w:rPr>
        <w:t xml:space="preserve"> (</w:t>
      </w:r>
      <w:r w:rsidR="00E36C8F">
        <w:rPr>
          <w:szCs w:val="28"/>
        </w:rPr>
        <w:t>4</w:t>
      </w:r>
      <w:r w:rsidR="0000568A" w:rsidRPr="004E1820">
        <w:rPr>
          <w:szCs w:val="28"/>
        </w:rPr>
        <w:t>,</w:t>
      </w:r>
      <w:r w:rsidR="00E36C8F">
        <w:rPr>
          <w:szCs w:val="28"/>
        </w:rPr>
        <w:t>85</w:t>
      </w:r>
      <w:r w:rsidR="009B1872" w:rsidRPr="004E1820">
        <w:rPr>
          <w:szCs w:val="28"/>
        </w:rPr>
        <w:t> </w:t>
      </w:r>
      <w:r w:rsidRPr="004E1820">
        <w:rPr>
          <w:szCs w:val="28"/>
        </w:rPr>
        <w:t>%).</w:t>
      </w:r>
    </w:p>
    <w:p w:rsidR="00BB4B16" w:rsidRPr="004E1820" w:rsidRDefault="00BB4B16" w:rsidP="00BB4B16">
      <w:r w:rsidRPr="004E1820">
        <w:rPr>
          <w:b/>
        </w:rPr>
        <w:t>Средняя степень выполнения мероприятий за 202</w:t>
      </w:r>
      <w:r w:rsidR="00E36C8F">
        <w:rPr>
          <w:b/>
        </w:rPr>
        <w:t>3</w:t>
      </w:r>
      <w:r w:rsidRPr="004E1820">
        <w:rPr>
          <w:b/>
        </w:rPr>
        <w:t xml:space="preserve"> год составила 8</w:t>
      </w:r>
      <w:r w:rsidR="00E36C8F">
        <w:rPr>
          <w:b/>
        </w:rPr>
        <w:t>7</w:t>
      </w:r>
      <w:r w:rsidR="0000568A" w:rsidRPr="004E1820">
        <w:rPr>
          <w:b/>
        </w:rPr>
        <w:t>,</w:t>
      </w:r>
      <w:r w:rsidR="00E36C8F">
        <w:rPr>
          <w:b/>
        </w:rPr>
        <w:t>7</w:t>
      </w:r>
      <w:r w:rsidRPr="004E1820">
        <w:rPr>
          <w:b/>
        </w:rPr>
        <w:t xml:space="preserve"> % </w:t>
      </w:r>
      <w:r w:rsidRPr="004E1820">
        <w:t>(202</w:t>
      </w:r>
      <w:r w:rsidR="0000568A" w:rsidRPr="004E1820">
        <w:t>1</w:t>
      </w:r>
      <w:r w:rsidRPr="004E1820">
        <w:t xml:space="preserve"> год –</w:t>
      </w:r>
      <w:r w:rsidR="00B54514">
        <w:t xml:space="preserve"> </w:t>
      </w:r>
      <w:r w:rsidR="00E36C8F">
        <w:t>84</w:t>
      </w:r>
      <w:r w:rsidR="0000568A" w:rsidRPr="004E1820">
        <w:t>,</w:t>
      </w:r>
      <w:r w:rsidR="00E36C8F">
        <w:t>0</w:t>
      </w:r>
      <w:r w:rsidR="0000568A" w:rsidRPr="004E1820">
        <w:t>1 %</w:t>
      </w:r>
      <w:r w:rsidRPr="004E1820">
        <w:t>).</w:t>
      </w:r>
    </w:p>
    <w:p w:rsidR="00C5767C" w:rsidRDefault="00C5767C" w:rsidP="002C0B9B">
      <w:pPr>
        <w:rPr>
          <w:szCs w:val="28"/>
        </w:rPr>
      </w:pPr>
    </w:p>
    <w:p w:rsidR="00C5767C" w:rsidRDefault="00C5767C" w:rsidP="00C5767C">
      <w:pPr>
        <w:ind w:firstLine="0"/>
        <w:rPr>
          <w:szCs w:val="28"/>
        </w:rPr>
      </w:pPr>
      <w:r>
        <w:rPr>
          <w:noProof/>
          <w:szCs w:val="28"/>
        </w:rPr>
        <w:drawing>
          <wp:inline distT="0" distB="0" distL="0" distR="0">
            <wp:extent cx="6105525" cy="287655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5767C" w:rsidRPr="004E1820" w:rsidRDefault="00C5767C" w:rsidP="00C5767C">
      <w:pPr>
        <w:ind w:firstLine="0"/>
        <w:jc w:val="center"/>
        <w:rPr>
          <w:sz w:val="24"/>
          <w:szCs w:val="28"/>
        </w:rPr>
      </w:pPr>
      <w:r w:rsidRPr="004E1820">
        <w:rPr>
          <w:sz w:val="24"/>
          <w:szCs w:val="28"/>
        </w:rPr>
        <w:t xml:space="preserve">Рисунок </w:t>
      </w:r>
      <w:r>
        <w:rPr>
          <w:sz w:val="24"/>
          <w:szCs w:val="28"/>
        </w:rPr>
        <w:t>3</w:t>
      </w:r>
    </w:p>
    <w:p w:rsidR="00C5767C" w:rsidRDefault="00C5767C" w:rsidP="002C0B9B">
      <w:pPr>
        <w:rPr>
          <w:szCs w:val="28"/>
        </w:rPr>
      </w:pPr>
    </w:p>
    <w:p w:rsidR="002C0B9B" w:rsidRPr="004E1820" w:rsidRDefault="002C0B9B" w:rsidP="002C0B9B">
      <w:pPr>
        <w:rPr>
          <w:szCs w:val="28"/>
        </w:rPr>
      </w:pPr>
      <w:r w:rsidRPr="004E1820">
        <w:rPr>
          <w:szCs w:val="28"/>
        </w:rPr>
        <w:t>Основными причинами выполнения мероприятий не в полном объеме и (или) с нарушением плановых сроков являются:</w:t>
      </w:r>
    </w:p>
    <w:p w:rsidR="00AA1ACE" w:rsidRPr="004E1820" w:rsidRDefault="00AA1ACE" w:rsidP="00AA1ACE">
      <w:pPr>
        <w:pStyle w:val="330"/>
        <w:numPr>
          <w:ilvl w:val="0"/>
          <w:numId w:val="1"/>
        </w:numPr>
        <w:shd w:val="clear" w:color="auto" w:fill="auto"/>
        <w:tabs>
          <w:tab w:val="left" w:pos="1276"/>
        </w:tabs>
        <w:spacing w:before="0" w:after="0" w:line="240" w:lineRule="auto"/>
        <w:ind w:left="0" w:right="-1" w:firstLine="709"/>
        <w:rPr>
          <w:rFonts w:eastAsia="Times New Roman"/>
          <w:b w:val="0"/>
          <w:bCs w:val="0"/>
          <w:sz w:val="28"/>
          <w:szCs w:val="22"/>
        </w:rPr>
      </w:pPr>
      <w:r w:rsidRPr="004E1820">
        <w:rPr>
          <w:rFonts w:eastAsia="Times New Roman"/>
          <w:b w:val="0"/>
          <w:bCs w:val="0"/>
          <w:sz w:val="28"/>
          <w:szCs w:val="22"/>
        </w:rPr>
        <w:t>нарушение / неисполнение подрядчиками (исполнителями) взятых на себя обязательств по заключенным контрактам;</w:t>
      </w:r>
    </w:p>
    <w:p w:rsidR="00AA1ACE" w:rsidRPr="00F3328B" w:rsidRDefault="00AA1ACE" w:rsidP="00F3328B">
      <w:pPr>
        <w:pStyle w:val="330"/>
        <w:numPr>
          <w:ilvl w:val="0"/>
          <w:numId w:val="1"/>
        </w:numPr>
        <w:shd w:val="clear" w:color="auto" w:fill="auto"/>
        <w:tabs>
          <w:tab w:val="left" w:pos="1276"/>
        </w:tabs>
        <w:spacing w:before="0" w:after="0" w:line="240" w:lineRule="auto"/>
        <w:ind w:left="0" w:right="-1" w:firstLine="709"/>
        <w:rPr>
          <w:rFonts w:eastAsia="Times New Roman"/>
          <w:b w:val="0"/>
          <w:bCs w:val="0"/>
          <w:sz w:val="28"/>
          <w:szCs w:val="22"/>
        </w:rPr>
      </w:pPr>
      <w:r w:rsidRPr="004E1820">
        <w:rPr>
          <w:rFonts w:eastAsia="Times New Roman"/>
          <w:b w:val="0"/>
          <w:bCs w:val="0"/>
          <w:sz w:val="28"/>
          <w:szCs w:val="22"/>
        </w:rPr>
        <w:t>заявительный характер мероприятий по предоставлению государственных услуг и мер социальной поддержки населению;</w:t>
      </w:r>
    </w:p>
    <w:p w:rsidR="002C0B9B" w:rsidRPr="004E1820" w:rsidRDefault="002C0B9B" w:rsidP="00C45149">
      <w:pPr>
        <w:pStyle w:val="330"/>
        <w:numPr>
          <w:ilvl w:val="0"/>
          <w:numId w:val="1"/>
        </w:numPr>
        <w:shd w:val="clear" w:color="auto" w:fill="auto"/>
        <w:tabs>
          <w:tab w:val="left" w:pos="1276"/>
        </w:tabs>
        <w:spacing w:before="0" w:after="0" w:line="240" w:lineRule="auto"/>
        <w:ind w:left="0" w:right="-1" w:firstLine="709"/>
        <w:rPr>
          <w:rFonts w:eastAsia="Times New Roman"/>
          <w:b w:val="0"/>
          <w:bCs w:val="0"/>
          <w:sz w:val="28"/>
          <w:szCs w:val="22"/>
        </w:rPr>
      </w:pPr>
      <w:r w:rsidRPr="004E1820">
        <w:rPr>
          <w:rFonts w:eastAsia="Times New Roman"/>
          <w:b w:val="0"/>
          <w:bCs w:val="0"/>
          <w:sz w:val="28"/>
          <w:szCs w:val="22"/>
        </w:rPr>
        <w:t>удорожание мероприятий, недостаточность</w:t>
      </w:r>
      <w:r w:rsidR="005B5924" w:rsidRPr="004E1820">
        <w:rPr>
          <w:rFonts w:eastAsia="Times New Roman"/>
          <w:b w:val="0"/>
          <w:bCs w:val="0"/>
          <w:sz w:val="28"/>
          <w:szCs w:val="22"/>
        </w:rPr>
        <w:t xml:space="preserve"> </w:t>
      </w:r>
      <w:r w:rsidRPr="004E1820">
        <w:rPr>
          <w:rFonts w:eastAsia="Times New Roman"/>
          <w:b w:val="0"/>
          <w:bCs w:val="0"/>
          <w:sz w:val="28"/>
          <w:szCs w:val="22"/>
        </w:rPr>
        <w:t>или позднее поступление финансирования;</w:t>
      </w:r>
    </w:p>
    <w:p w:rsidR="009B1872" w:rsidRPr="004E1820" w:rsidRDefault="002C0B9B" w:rsidP="00BB4B16">
      <w:pPr>
        <w:pStyle w:val="330"/>
        <w:numPr>
          <w:ilvl w:val="0"/>
          <w:numId w:val="1"/>
        </w:numPr>
        <w:shd w:val="clear" w:color="auto" w:fill="auto"/>
        <w:tabs>
          <w:tab w:val="left" w:pos="1276"/>
        </w:tabs>
        <w:spacing w:before="0" w:after="0" w:line="240" w:lineRule="auto"/>
        <w:ind w:left="0" w:right="-1" w:firstLine="709"/>
        <w:rPr>
          <w:rFonts w:eastAsia="Times New Roman"/>
          <w:b w:val="0"/>
          <w:bCs w:val="0"/>
          <w:sz w:val="28"/>
          <w:szCs w:val="22"/>
        </w:rPr>
      </w:pPr>
      <w:r w:rsidRPr="004E1820">
        <w:rPr>
          <w:rFonts w:eastAsia="Times New Roman"/>
          <w:b w:val="0"/>
          <w:bCs w:val="0"/>
          <w:sz w:val="28"/>
          <w:szCs w:val="22"/>
        </w:rPr>
        <w:t>внешние факторы, на которые невозможно оказать влияние в рамках государственных программ</w:t>
      </w:r>
      <w:r w:rsidR="00C5767C">
        <w:rPr>
          <w:rFonts w:eastAsia="Times New Roman"/>
          <w:b w:val="0"/>
          <w:bCs w:val="0"/>
          <w:sz w:val="28"/>
          <w:szCs w:val="22"/>
        </w:rPr>
        <w:t>.</w:t>
      </w:r>
    </w:p>
    <w:p w:rsidR="002C0B9B" w:rsidRPr="004E1820" w:rsidRDefault="002C0B9B" w:rsidP="002C0B9B">
      <w:pPr>
        <w:rPr>
          <w:szCs w:val="28"/>
        </w:rPr>
      </w:pPr>
      <w:r w:rsidRPr="004E1820">
        <w:rPr>
          <w:szCs w:val="28"/>
        </w:rPr>
        <w:t>Сведения о ходе исполнения мероприятий государственных программ за 202</w:t>
      </w:r>
      <w:r w:rsidR="00C5767C">
        <w:rPr>
          <w:szCs w:val="28"/>
        </w:rPr>
        <w:t>3</w:t>
      </w:r>
      <w:r w:rsidR="005B5924" w:rsidRPr="004E1820">
        <w:rPr>
          <w:szCs w:val="28"/>
        </w:rPr>
        <w:t xml:space="preserve"> </w:t>
      </w:r>
      <w:r w:rsidRPr="004E1820">
        <w:rPr>
          <w:szCs w:val="28"/>
        </w:rPr>
        <w:t>год представлены в разрезе подпрограмм в приложении № 2.</w:t>
      </w:r>
    </w:p>
    <w:p w:rsidR="002C0B9B" w:rsidRPr="004E1820" w:rsidRDefault="002C0B9B" w:rsidP="002C0B9B">
      <w:pPr>
        <w:ind w:firstLine="851"/>
        <w:rPr>
          <w:bCs/>
          <w:szCs w:val="28"/>
        </w:rPr>
      </w:pPr>
    </w:p>
    <w:p w:rsidR="002C0B9B" w:rsidRPr="004E1820" w:rsidRDefault="002C0B9B" w:rsidP="002C0B9B">
      <w:pPr>
        <w:ind w:firstLine="851"/>
        <w:rPr>
          <w:b/>
          <w:bCs/>
          <w:szCs w:val="28"/>
        </w:rPr>
      </w:pPr>
      <w:r w:rsidRPr="004E1820">
        <w:rPr>
          <w:b/>
          <w:bCs/>
          <w:szCs w:val="28"/>
        </w:rPr>
        <w:t>3. Объекты капитального строительства</w:t>
      </w:r>
    </w:p>
    <w:p w:rsidR="00FB0F10" w:rsidRPr="004E1820" w:rsidRDefault="00FB0F10" w:rsidP="001205D5">
      <w:pPr>
        <w:ind w:firstLine="851"/>
        <w:rPr>
          <w:bCs/>
          <w:szCs w:val="28"/>
        </w:rPr>
      </w:pPr>
    </w:p>
    <w:p w:rsidR="00FB0F10" w:rsidRPr="009B2003" w:rsidRDefault="00FB0F10" w:rsidP="00FB0F10">
      <w:pPr>
        <w:ind w:firstLine="851"/>
        <w:rPr>
          <w:szCs w:val="28"/>
        </w:rPr>
      </w:pPr>
      <w:r w:rsidRPr="009B2003">
        <w:rPr>
          <w:bCs/>
          <w:szCs w:val="28"/>
        </w:rPr>
        <w:t>По состоянию на конец 202</w:t>
      </w:r>
      <w:r w:rsidR="009B08C5" w:rsidRPr="009B2003">
        <w:rPr>
          <w:bCs/>
          <w:szCs w:val="28"/>
        </w:rPr>
        <w:t>3</w:t>
      </w:r>
      <w:r w:rsidRPr="009B2003">
        <w:rPr>
          <w:bCs/>
          <w:szCs w:val="28"/>
        </w:rPr>
        <w:t xml:space="preserve"> года в рамках </w:t>
      </w:r>
      <w:r w:rsidR="009B08C5" w:rsidRPr="009B2003">
        <w:rPr>
          <w:bCs/>
          <w:szCs w:val="28"/>
        </w:rPr>
        <w:t>8</w:t>
      </w:r>
      <w:r w:rsidRPr="009B2003">
        <w:rPr>
          <w:bCs/>
          <w:szCs w:val="28"/>
        </w:rPr>
        <w:t xml:space="preserve"> государственных программ предусматривались строительные и проектно-изыскательские работы на 6</w:t>
      </w:r>
      <w:r w:rsidR="00096611" w:rsidRPr="009B2003">
        <w:rPr>
          <w:bCs/>
          <w:szCs w:val="28"/>
        </w:rPr>
        <w:t>3</w:t>
      </w:r>
      <w:r w:rsidRPr="009B2003">
        <w:rPr>
          <w:bCs/>
          <w:szCs w:val="28"/>
        </w:rPr>
        <w:t xml:space="preserve"> объектах с финансированием в объеме </w:t>
      </w:r>
      <w:r w:rsidR="009B08C5" w:rsidRPr="009B2003">
        <w:rPr>
          <w:bCs/>
          <w:szCs w:val="28"/>
        </w:rPr>
        <w:t>8</w:t>
      </w:r>
      <w:r w:rsidRPr="009B2003">
        <w:rPr>
          <w:bCs/>
          <w:szCs w:val="28"/>
        </w:rPr>
        <w:t> </w:t>
      </w:r>
      <w:r w:rsidR="009B08C5" w:rsidRPr="009B2003">
        <w:rPr>
          <w:bCs/>
          <w:szCs w:val="28"/>
        </w:rPr>
        <w:t>856</w:t>
      </w:r>
      <w:r w:rsidRPr="009B2003">
        <w:rPr>
          <w:bCs/>
          <w:szCs w:val="28"/>
        </w:rPr>
        <w:t>,</w:t>
      </w:r>
      <w:r w:rsidR="009B08C5" w:rsidRPr="009B2003">
        <w:rPr>
          <w:bCs/>
          <w:szCs w:val="28"/>
        </w:rPr>
        <w:t>8</w:t>
      </w:r>
      <w:r w:rsidRPr="009B2003">
        <w:rPr>
          <w:bCs/>
          <w:szCs w:val="28"/>
        </w:rPr>
        <w:t xml:space="preserve"> млн рублей (приложение № 3). </w:t>
      </w:r>
    </w:p>
    <w:p w:rsidR="00FB0F10" w:rsidRPr="009B2003" w:rsidRDefault="00FB0F10" w:rsidP="00FB0F10">
      <w:pPr>
        <w:ind w:firstLine="851"/>
        <w:rPr>
          <w:szCs w:val="28"/>
        </w:rPr>
      </w:pPr>
      <w:r w:rsidRPr="009B2003">
        <w:rPr>
          <w:szCs w:val="28"/>
        </w:rPr>
        <w:t>Всего за счет средств 202</w:t>
      </w:r>
      <w:r w:rsidR="009B08C5" w:rsidRPr="009B2003">
        <w:rPr>
          <w:szCs w:val="28"/>
        </w:rPr>
        <w:t>3</w:t>
      </w:r>
      <w:r w:rsidRPr="009B2003">
        <w:rPr>
          <w:szCs w:val="28"/>
        </w:rPr>
        <w:t xml:space="preserve"> года фактически выполнено и принято в установленном порядке работ на сумму </w:t>
      </w:r>
      <w:r w:rsidR="009B08C5" w:rsidRPr="009B2003">
        <w:rPr>
          <w:szCs w:val="28"/>
        </w:rPr>
        <w:t>5</w:t>
      </w:r>
      <w:r w:rsidRPr="009B2003">
        <w:rPr>
          <w:szCs w:val="28"/>
        </w:rPr>
        <w:t> </w:t>
      </w:r>
      <w:r w:rsidR="009B08C5" w:rsidRPr="009B2003">
        <w:rPr>
          <w:szCs w:val="28"/>
        </w:rPr>
        <w:t>872</w:t>
      </w:r>
      <w:r w:rsidRPr="009B2003">
        <w:rPr>
          <w:szCs w:val="28"/>
        </w:rPr>
        <w:t xml:space="preserve"> млн рублей (</w:t>
      </w:r>
      <w:r w:rsidR="009B08C5" w:rsidRPr="009B2003">
        <w:rPr>
          <w:szCs w:val="28"/>
        </w:rPr>
        <w:t>66</w:t>
      </w:r>
      <w:r w:rsidRPr="009B2003">
        <w:rPr>
          <w:szCs w:val="28"/>
        </w:rPr>
        <w:t>,</w:t>
      </w:r>
      <w:r w:rsidR="009B08C5" w:rsidRPr="009B2003">
        <w:rPr>
          <w:szCs w:val="28"/>
        </w:rPr>
        <w:t>3</w:t>
      </w:r>
      <w:r w:rsidRPr="009B2003">
        <w:rPr>
          <w:szCs w:val="28"/>
        </w:rPr>
        <w:t xml:space="preserve"> %). В 202</w:t>
      </w:r>
      <w:r w:rsidR="009B08C5" w:rsidRPr="009B2003">
        <w:rPr>
          <w:szCs w:val="28"/>
        </w:rPr>
        <w:t>2</w:t>
      </w:r>
      <w:r w:rsidRPr="009B2003">
        <w:rPr>
          <w:szCs w:val="28"/>
        </w:rPr>
        <w:t xml:space="preserve"> году 3 </w:t>
      </w:r>
      <w:r w:rsidR="009B08C5" w:rsidRPr="009B2003">
        <w:rPr>
          <w:szCs w:val="28"/>
        </w:rPr>
        <w:t>138</w:t>
      </w:r>
      <w:r w:rsidRPr="009B2003">
        <w:rPr>
          <w:szCs w:val="28"/>
        </w:rPr>
        <w:t>,</w:t>
      </w:r>
      <w:r w:rsidR="009B08C5" w:rsidRPr="009B2003">
        <w:rPr>
          <w:szCs w:val="28"/>
        </w:rPr>
        <w:t>3</w:t>
      </w:r>
      <w:r w:rsidRPr="009B2003">
        <w:rPr>
          <w:szCs w:val="28"/>
        </w:rPr>
        <w:t xml:space="preserve"> (</w:t>
      </w:r>
      <w:r w:rsidR="009B08C5" w:rsidRPr="009B2003">
        <w:rPr>
          <w:szCs w:val="28"/>
        </w:rPr>
        <w:t>33</w:t>
      </w:r>
      <w:r w:rsidRPr="009B2003">
        <w:rPr>
          <w:szCs w:val="28"/>
        </w:rPr>
        <w:t>,</w:t>
      </w:r>
      <w:r w:rsidR="009B08C5" w:rsidRPr="009B2003">
        <w:rPr>
          <w:szCs w:val="28"/>
        </w:rPr>
        <w:t>8</w:t>
      </w:r>
      <w:r w:rsidRPr="009B2003">
        <w:rPr>
          <w:szCs w:val="28"/>
        </w:rPr>
        <w:t> %) – соответственно.</w:t>
      </w:r>
    </w:p>
    <w:p w:rsidR="00FB0F10" w:rsidRPr="009B2003" w:rsidRDefault="00FB0F10" w:rsidP="00FB0F10">
      <w:pPr>
        <w:ind w:firstLine="851"/>
        <w:rPr>
          <w:szCs w:val="28"/>
        </w:rPr>
      </w:pPr>
      <w:r w:rsidRPr="009B2003">
        <w:rPr>
          <w:szCs w:val="28"/>
        </w:rPr>
        <w:lastRenderedPageBreak/>
        <w:t xml:space="preserve">За счет средств областного бюджета выполнены работы на сумму </w:t>
      </w:r>
      <w:r w:rsidR="002220D7" w:rsidRPr="009B2003">
        <w:rPr>
          <w:szCs w:val="28"/>
        </w:rPr>
        <w:t>3 820</w:t>
      </w:r>
      <w:r w:rsidRPr="009B2003">
        <w:rPr>
          <w:szCs w:val="28"/>
        </w:rPr>
        <w:t>,</w:t>
      </w:r>
      <w:r w:rsidR="002220D7" w:rsidRPr="009B2003">
        <w:rPr>
          <w:szCs w:val="28"/>
        </w:rPr>
        <w:t>9</w:t>
      </w:r>
      <w:r w:rsidRPr="009B2003">
        <w:rPr>
          <w:szCs w:val="28"/>
        </w:rPr>
        <w:t xml:space="preserve"> млн рублей из запланированных </w:t>
      </w:r>
      <w:r w:rsidR="002220D7" w:rsidRPr="009B2003">
        <w:rPr>
          <w:szCs w:val="28"/>
        </w:rPr>
        <w:t>5</w:t>
      </w:r>
      <w:r w:rsidRPr="009B2003">
        <w:rPr>
          <w:szCs w:val="28"/>
        </w:rPr>
        <w:t> </w:t>
      </w:r>
      <w:r w:rsidR="002220D7" w:rsidRPr="009B2003">
        <w:rPr>
          <w:szCs w:val="28"/>
        </w:rPr>
        <w:t>753</w:t>
      </w:r>
      <w:r w:rsidRPr="009B2003">
        <w:rPr>
          <w:szCs w:val="28"/>
        </w:rPr>
        <w:t>,</w:t>
      </w:r>
      <w:r w:rsidR="002220D7" w:rsidRPr="009B2003">
        <w:rPr>
          <w:szCs w:val="28"/>
        </w:rPr>
        <w:t>5</w:t>
      </w:r>
      <w:r w:rsidRPr="009B2003">
        <w:rPr>
          <w:szCs w:val="28"/>
        </w:rPr>
        <w:t xml:space="preserve"> млн рублей (в 202</w:t>
      </w:r>
      <w:r w:rsidR="002220D7" w:rsidRPr="009B2003">
        <w:rPr>
          <w:szCs w:val="28"/>
        </w:rPr>
        <w:t>2</w:t>
      </w:r>
      <w:r w:rsidRPr="009B2003">
        <w:rPr>
          <w:szCs w:val="28"/>
        </w:rPr>
        <w:t xml:space="preserve"> году - </w:t>
      </w:r>
      <w:r w:rsidR="00282A01" w:rsidRPr="009B2003">
        <w:rPr>
          <w:szCs w:val="28"/>
        </w:rPr>
        <w:t>2</w:t>
      </w:r>
      <w:r w:rsidRPr="009B2003">
        <w:rPr>
          <w:szCs w:val="28"/>
        </w:rPr>
        <w:t> </w:t>
      </w:r>
      <w:r w:rsidR="00282A01" w:rsidRPr="009B2003">
        <w:rPr>
          <w:szCs w:val="28"/>
        </w:rPr>
        <w:t>540</w:t>
      </w:r>
      <w:r w:rsidRPr="009B2003">
        <w:rPr>
          <w:szCs w:val="28"/>
        </w:rPr>
        <w:t>,</w:t>
      </w:r>
      <w:r w:rsidR="00282A01" w:rsidRPr="009B2003">
        <w:rPr>
          <w:szCs w:val="28"/>
        </w:rPr>
        <w:t>1</w:t>
      </w:r>
      <w:r w:rsidRPr="009B2003">
        <w:rPr>
          <w:szCs w:val="28"/>
        </w:rPr>
        <w:t xml:space="preserve"> млн рублей из </w:t>
      </w:r>
      <w:r w:rsidR="00282A01" w:rsidRPr="009B2003">
        <w:rPr>
          <w:szCs w:val="28"/>
        </w:rPr>
        <w:t>6 395,1</w:t>
      </w:r>
      <w:r w:rsidRPr="009B2003">
        <w:rPr>
          <w:szCs w:val="28"/>
        </w:rPr>
        <w:t xml:space="preserve"> млн рублей). </w:t>
      </w:r>
    </w:p>
    <w:p w:rsidR="00FB0F10" w:rsidRPr="009B2003" w:rsidRDefault="00FB0F10" w:rsidP="00FB0F10">
      <w:pPr>
        <w:ind w:firstLine="851"/>
        <w:rPr>
          <w:szCs w:val="28"/>
        </w:rPr>
      </w:pPr>
      <w:r w:rsidRPr="009B2003">
        <w:rPr>
          <w:szCs w:val="28"/>
        </w:rPr>
        <w:t xml:space="preserve">Объем выполненных работ за счет ассигнований из федерального бюджета составил </w:t>
      </w:r>
      <w:r w:rsidR="00282A01" w:rsidRPr="009B2003">
        <w:rPr>
          <w:szCs w:val="28"/>
        </w:rPr>
        <w:t>1 566</w:t>
      </w:r>
      <w:r w:rsidRPr="009B2003">
        <w:rPr>
          <w:szCs w:val="28"/>
        </w:rPr>
        <w:t>,</w:t>
      </w:r>
      <w:r w:rsidR="00282A01" w:rsidRPr="009B2003">
        <w:rPr>
          <w:szCs w:val="28"/>
        </w:rPr>
        <w:t>2</w:t>
      </w:r>
      <w:r w:rsidRPr="009B2003">
        <w:rPr>
          <w:szCs w:val="28"/>
        </w:rPr>
        <w:t xml:space="preserve"> млн рублей при плане </w:t>
      </w:r>
      <w:r w:rsidR="00282A01" w:rsidRPr="009B2003">
        <w:rPr>
          <w:szCs w:val="28"/>
        </w:rPr>
        <w:t>2</w:t>
      </w:r>
      <w:r w:rsidRPr="009B2003">
        <w:rPr>
          <w:szCs w:val="28"/>
        </w:rPr>
        <w:t> </w:t>
      </w:r>
      <w:r w:rsidR="00282A01" w:rsidRPr="009B2003">
        <w:rPr>
          <w:szCs w:val="28"/>
        </w:rPr>
        <w:t>258</w:t>
      </w:r>
      <w:r w:rsidRPr="009B2003">
        <w:rPr>
          <w:szCs w:val="28"/>
        </w:rPr>
        <w:t>,</w:t>
      </w:r>
      <w:r w:rsidR="00282A01" w:rsidRPr="009B2003">
        <w:rPr>
          <w:szCs w:val="28"/>
        </w:rPr>
        <w:t>5</w:t>
      </w:r>
      <w:r w:rsidRPr="009B2003">
        <w:rPr>
          <w:szCs w:val="28"/>
        </w:rPr>
        <w:t xml:space="preserve"> млн рублей (в 202</w:t>
      </w:r>
      <w:r w:rsidR="00282A01" w:rsidRPr="009B2003">
        <w:rPr>
          <w:szCs w:val="28"/>
        </w:rPr>
        <w:t>2</w:t>
      </w:r>
      <w:r w:rsidRPr="009B2003">
        <w:rPr>
          <w:szCs w:val="28"/>
        </w:rPr>
        <w:t xml:space="preserve"> году – </w:t>
      </w:r>
      <w:r w:rsidR="00282A01" w:rsidRPr="009B2003">
        <w:rPr>
          <w:szCs w:val="28"/>
        </w:rPr>
        <w:t>389</w:t>
      </w:r>
      <w:r w:rsidRPr="009B2003">
        <w:rPr>
          <w:szCs w:val="28"/>
        </w:rPr>
        <w:t>,8 млн при плане 1 </w:t>
      </w:r>
      <w:r w:rsidR="00282A01" w:rsidRPr="009B2003">
        <w:rPr>
          <w:szCs w:val="28"/>
        </w:rPr>
        <w:t>830</w:t>
      </w:r>
      <w:r w:rsidRPr="009B2003">
        <w:rPr>
          <w:szCs w:val="28"/>
        </w:rPr>
        <w:t>,</w:t>
      </w:r>
      <w:r w:rsidR="00282A01" w:rsidRPr="009B2003">
        <w:rPr>
          <w:szCs w:val="28"/>
        </w:rPr>
        <w:t>1</w:t>
      </w:r>
      <w:r w:rsidRPr="009B2003">
        <w:rPr>
          <w:szCs w:val="28"/>
        </w:rPr>
        <w:t xml:space="preserve"> млн рублей). </w:t>
      </w:r>
    </w:p>
    <w:p w:rsidR="00FB0F10" w:rsidRPr="004E1820" w:rsidRDefault="00FB0F10" w:rsidP="00FB0F10">
      <w:pPr>
        <w:ind w:firstLine="851"/>
        <w:rPr>
          <w:szCs w:val="28"/>
        </w:rPr>
      </w:pPr>
      <w:r w:rsidRPr="009B2003">
        <w:rPr>
          <w:szCs w:val="28"/>
        </w:rPr>
        <w:t xml:space="preserve">За счет средств местных бюджетов выполнено работ на сумму </w:t>
      </w:r>
      <w:r w:rsidR="00121DFC" w:rsidRPr="009B2003">
        <w:rPr>
          <w:szCs w:val="28"/>
        </w:rPr>
        <w:t>497,8</w:t>
      </w:r>
      <w:r w:rsidRPr="009B2003">
        <w:rPr>
          <w:szCs w:val="28"/>
        </w:rPr>
        <w:t xml:space="preserve"> млн рублей из 7</w:t>
      </w:r>
      <w:r w:rsidR="00121DFC" w:rsidRPr="009B2003">
        <w:rPr>
          <w:szCs w:val="28"/>
        </w:rPr>
        <w:t>37</w:t>
      </w:r>
      <w:r w:rsidRPr="009B2003">
        <w:rPr>
          <w:szCs w:val="28"/>
        </w:rPr>
        <w:t>,</w:t>
      </w:r>
      <w:r w:rsidR="00121DFC" w:rsidRPr="009B2003">
        <w:rPr>
          <w:szCs w:val="28"/>
        </w:rPr>
        <w:t>5</w:t>
      </w:r>
      <w:r w:rsidRPr="009B2003">
        <w:rPr>
          <w:szCs w:val="28"/>
        </w:rPr>
        <w:t xml:space="preserve"> млн рублей запланированных (в 202</w:t>
      </w:r>
      <w:r w:rsidR="00121DFC" w:rsidRPr="009B2003">
        <w:rPr>
          <w:szCs w:val="28"/>
        </w:rPr>
        <w:t>2</w:t>
      </w:r>
      <w:r w:rsidRPr="009B2003">
        <w:rPr>
          <w:szCs w:val="28"/>
        </w:rPr>
        <w:t xml:space="preserve"> году – 1</w:t>
      </w:r>
      <w:r w:rsidR="00121DFC" w:rsidRPr="009B2003">
        <w:rPr>
          <w:szCs w:val="28"/>
        </w:rPr>
        <w:t>56</w:t>
      </w:r>
      <w:r w:rsidRPr="009B2003">
        <w:rPr>
          <w:szCs w:val="28"/>
        </w:rPr>
        <w:t>,</w:t>
      </w:r>
      <w:r w:rsidR="00121DFC" w:rsidRPr="009B2003">
        <w:rPr>
          <w:szCs w:val="28"/>
        </w:rPr>
        <w:t>9</w:t>
      </w:r>
      <w:r w:rsidRPr="009B2003">
        <w:rPr>
          <w:szCs w:val="28"/>
        </w:rPr>
        <w:t xml:space="preserve"> млн из </w:t>
      </w:r>
      <w:r w:rsidR="00121DFC" w:rsidRPr="009B2003">
        <w:rPr>
          <w:szCs w:val="28"/>
        </w:rPr>
        <w:t>795</w:t>
      </w:r>
      <w:r w:rsidRPr="009B2003">
        <w:rPr>
          <w:szCs w:val="28"/>
        </w:rPr>
        <w:t>,</w:t>
      </w:r>
      <w:r w:rsidR="00121DFC" w:rsidRPr="009B2003">
        <w:rPr>
          <w:szCs w:val="28"/>
        </w:rPr>
        <w:t>6</w:t>
      </w:r>
      <w:r w:rsidRPr="009B2003">
        <w:rPr>
          <w:szCs w:val="28"/>
        </w:rPr>
        <w:t xml:space="preserve"> млн рублей).</w:t>
      </w:r>
    </w:p>
    <w:p w:rsidR="00EB406E" w:rsidRPr="009B2003" w:rsidRDefault="00FB0F10" w:rsidP="00FB0F10">
      <w:pPr>
        <w:rPr>
          <w:szCs w:val="28"/>
        </w:rPr>
      </w:pPr>
      <w:r w:rsidRPr="009B2003">
        <w:rPr>
          <w:szCs w:val="28"/>
        </w:rPr>
        <w:t>Значительная часть средств израсходована на реализацию меро</w:t>
      </w:r>
      <w:r w:rsidR="00EB406E" w:rsidRPr="009B2003">
        <w:rPr>
          <w:szCs w:val="28"/>
        </w:rPr>
        <w:t>приятий в рамках следующих государственных программ</w:t>
      </w:r>
      <w:r w:rsidRPr="009B2003">
        <w:rPr>
          <w:szCs w:val="28"/>
        </w:rPr>
        <w:t xml:space="preserve"> Мурманской области</w:t>
      </w:r>
      <w:r w:rsidR="00EB406E" w:rsidRPr="009B2003">
        <w:rPr>
          <w:szCs w:val="28"/>
        </w:rPr>
        <w:t xml:space="preserve">: </w:t>
      </w:r>
    </w:p>
    <w:p w:rsidR="00EB406E" w:rsidRPr="009B2003" w:rsidRDefault="00EB406E" w:rsidP="00FB0F10">
      <w:pPr>
        <w:rPr>
          <w:szCs w:val="28"/>
        </w:rPr>
      </w:pPr>
      <w:r w:rsidRPr="009B2003">
        <w:rPr>
          <w:szCs w:val="28"/>
        </w:rPr>
        <w:t xml:space="preserve">- </w:t>
      </w:r>
      <w:r w:rsidR="00925454" w:rsidRPr="009B2003">
        <w:rPr>
          <w:szCs w:val="28"/>
        </w:rPr>
        <w:t>«</w:t>
      </w:r>
      <w:r w:rsidRPr="009B2003">
        <w:rPr>
          <w:szCs w:val="28"/>
        </w:rPr>
        <w:t>Развитие транспортной системы</w:t>
      </w:r>
      <w:r w:rsidR="00925454" w:rsidRPr="009B2003">
        <w:rPr>
          <w:szCs w:val="28"/>
        </w:rPr>
        <w:t>»</w:t>
      </w:r>
      <w:r w:rsidR="00FB0F10" w:rsidRPr="009B2003">
        <w:rPr>
          <w:szCs w:val="28"/>
        </w:rPr>
        <w:t xml:space="preserve"> – </w:t>
      </w:r>
      <w:r w:rsidRPr="009B2003">
        <w:rPr>
          <w:szCs w:val="28"/>
        </w:rPr>
        <w:t>33</w:t>
      </w:r>
      <w:r w:rsidR="00FB0F10" w:rsidRPr="009B2003">
        <w:rPr>
          <w:szCs w:val="28"/>
        </w:rPr>
        <w:t>,</w:t>
      </w:r>
      <w:r w:rsidRPr="009B2003">
        <w:rPr>
          <w:szCs w:val="28"/>
        </w:rPr>
        <w:t>3</w:t>
      </w:r>
      <w:r w:rsidR="00FB0F10" w:rsidRPr="009B2003">
        <w:rPr>
          <w:szCs w:val="28"/>
        </w:rPr>
        <w:t xml:space="preserve"> % (</w:t>
      </w:r>
      <w:r w:rsidRPr="009B2003">
        <w:rPr>
          <w:szCs w:val="28"/>
        </w:rPr>
        <w:t>2</w:t>
      </w:r>
      <w:r w:rsidR="00A32FEF" w:rsidRPr="009B2003">
        <w:rPr>
          <w:szCs w:val="28"/>
        </w:rPr>
        <w:t xml:space="preserve"> </w:t>
      </w:r>
      <w:r w:rsidRPr="009B2003">
        <w:rPr>
          <w:szCs w:val="28"/>
        </w:rPr>
        <w:t>397,3</w:t>
      </w:r>
      <w:r w:rsidR="00B54514">
        <w:rPr>
          <w:szCs w:val="28"/>
        </w:rPr>
        <w:t xml:space="preserve"> млн рублей) от </w:t>
      </w:r>
      <w:r w:rsidR="00FB0F10" w:rsidRPr="009B2003">
        <w:rPr>
          <w:szCs w:val="28"/>
        </w:rPr>
        <w:t>общего объема кассовых расходов</w:t>
      </w:r>
      <w:r w:rsidRPr="009B2003">
        <w:rPr>
          <w:szCs w:val="28"/>
        </w:rPr>
        <w:t>;</w:t>
      </w:r>
    </w:p>
    <w:p w:rsidR="00FB0F10" w:rsidRPr="009B2003" w:rsidRDefault="00EB406E" w:rsidP="00FB0F10">
      <w:pPr>
        <w:rPr>
          <w:szCs w:val="28"/>
        </w:rPr>
      </w:pPr>
      <w:r w:rsidRPr="009B2003">
        <w:rPr>
          <w:szCs w:val="28"/>
        </w:rPr>
        <w:t xml:space="preserve"> - «Комфортное жилье и городская среда»</w:t>
      </w:r>
      <w:r w:rsidR="00A32FEF" w:rsidRPr="009B2003">
        <w:rPr>
          <w:szCs w:val="28"/>
        </w:rPr>
        <w:t xml:space="preserve"> - 30,5 % (2 195,6 млн рублей)</w:t>
      </w:r>
      <w:r w:rsidR="00FB0F10" w:rsidRPr="009B2003">
        <w:rPr>
          <w:szCs w:val="28"/>
        </w:rPr>
        <w:t xml:space="preserve"> от</w:t>
      </w:r>
      <w:r w:rsidR="00B54514">
        <w:rPr>
          <w:szCs w:val="28"/>
        </w:rPr>
        <w:t> </w:t>
      </w:r>
      <w:r w:rsidR="00FB0F10" w:rsidRPr="009B2003">
        <w:rPr>
          <w:szCs w:val="28"/>
        </w:rPr>
        <w:t>общего объема кассовых расходов.</w:t>
      </w:r>
    </w:p>
    <w:p w:rsidR="00AA6290" w:rsidRPr="009B2003" w:rsidRDefault="00FB0F10" w:rsidP="00296B0C">
      <w:pPr>
        <w:rPr>
          <w:bCs/>
          <w:szCs w:val="28"/>
        </w:rPr>
      </w:pPr>
      <w:r w:rsidRPr="009B2003">
        <w:rPr>
          <w:bCs/>
          <w:szCs w:val="28"/>
        </w:rPr>
        <w:t>На ряде объектов продолжались работы за счет средств, не освоенных в предыду</w:t>
      </w:r>
      <w:r w:rsidR="00A32FEF" w:rsidRPr="009B2003">
        <w:rPr>
          <w:bCs/>
          <w:szCs w:val="28"/>
        </w:rPr>
        <w:t>щие годы (выполнение составило 149</w:t>
      </w:r>
      <w:r w:rsidRPr="009B2003">
        <w:rPr>
          <w:bCs/>
          <w:szCs w:val="28"/>
        </w:rPr>
        <w:t>,</w:t>
      </w:r>
      <w:r w:rsidR="00A32FEF" w:rsidRPr="009B2003">
        <w:rPr>
          <w:bCs/>
          <w:szCs w:val="28"/>
        </w:rPr>
        <w:t>1</w:t>
      </w:r>
      <w:r w:rsidRPr="009B2003">
        <w:rPr>
          <w:bCs/>
          <w:szCs w:val="28"/>
        </w:rPr>
        <w:t xml:space="preserve"> млн рублей).</w:t>
      </w:r>
    </w:p>
    <w:p w:rsidR="00FB0F10" w:rsidRPr="009B2003" w:rsidRDefault="00FB0F10" w:rsidP="00FB0F10">
      <w:pPr>
        <w:rPr>
          <w:szCs w:val="28"/>
        </w:rPr>
      </w:pPr>
      <w:r w:rsidRPr="009B2003">
        <w:rPr>
          <w:szCs w:val="28"/>
        </w:rPr>
        <w:t>Всего в 202</w:t>
      </w:r>
      <w:r w:rsidR="00296B0C" w:rsidRPr="009B2003">
        <w:rPr>
          <w:szCs w:val="28"/>
        </w:rPr>
        <w:t>3</w:t>
      </w:r>
      <w:r w:rsidRPr="009B2003">
        <w:rPr>
          <w:szCs w:val="28"/>
        </w:rPr>
        <w:t xml:space="preserve"> году завершены работы на </w:t>
      </w:r>
      <w:r w:rsidR="00296B0C" w:rsidRPr="009B2003">
        <w:rPr>
          <w:szCs w:val="28"/>
        </w:rPr>
        <w:t>8</w:t>
      </w:r>
      <w:r w:rsidRPr="009B2003">
        <w:rPr>
          <w:szCs w:val="28"/>
        </w:rPr>
        <w:t xml:space="preserve"> объектах.</w:t>
      </w:r>
    </w:p>
    <w:p w:rsidR="00FB0F10" w:rsidRPr="009B2003" w:rsidRDefault="00296B0C" w:rsidP="00FB0F10">
      <w:pPr>
        <w:rPr>
          <w:szCs w:val="28"/>
        </w:rPr>
      </w:pPr>
      <w:r w:rsidRPr="009B2003">
        <w:rPr>
          <w:szCs w:val="28"/>
        </w:rPr>
        <w:t>Введены</w:t>
      </w:r>
      <w:r w:rsidR="00FB0F10" w:rsidRPr="009B2003">
        <w:rPr>
          <w:szCs w:val="28"/>
        </w:rPr>
        <w:t xml:space="preserve"> в эксплуатацию </w:t>
      </w:r>
      <w:r w:rsidRPr="009B2003">
        <w:rPr>
          <w:color w:val="000000" w:themeColor="text1"/>
          <w:szCs w:val="28"/>
        </w:rPr>
        <w:t>такие</w:t>
      </w:r>
      <w:r w:rsidR="00FB0F10" w:rsidRPr="009B2003">
        <w:rPr>
          <w:color w:val="000000" w:themeColor="text1"/>
          <w:szCs w:val="28"/>
        </w:rPr>
        <w:t xml:space="preserve"> </w:t>
      </w:r>
      <w:r w:rsidRPr="009B2003">
        <w:rPr>
          <w:szCs w:val="28"/>
        </w:rPr>
        <w:t>объекты</w:t>
      </w:r>
      <w:r w:rsidR="00FB0F10" w:rsidRPr="009B2003">
        <w:rPr>
          <w:szCs w:val="28"/>
        </w:rPr>
        <w:t xml:space="preserve"> как:</w:t>
      </w:r>
    </w:p>
    <w:p w:rsidR="00FB0F10" w:rsidRPr="009B2003" w:rsidRDefault="00FB0F10" w:rsidP="00FB0F10">
      <w:pPr>
        <w:pStyle w:val="330"/>
        <w:shd w:val="clear" w:color="auto" w:fill="auto"/>
        <w:tabs>
          <w:tab w:val="left" w:pos="1276"/>
        </w:tabs>
        <w:spacing w:before="0" w:after="0" w:line="240" w:lineRule="auto"/>
        <w:ind w:right="-1" w:firstLine="851"/>
        <w:rPr>
          <w:rFonts w:eastAsia="Times New Roman"/>
          <w:b w:val="0"/>
          <w:bCs w:val="0"/>
          <w:sz w:val="28"/>
          <w:szCs w:val="28"/>
        </w:rPr>
      </w:pPr>
      <w:r w:rsidRPr="009B2003">
        <w:rPr>
          <w:rFonts w:eastAsia="Times New Roman"/>
          <w:b w:val="0"/>
          <w:bCs w:val="0"/>
          <w:sz w:val="28"/>
          <w:szCs w:val="28"/>
        </w:rPr>
        <w:t>- </w:t>
      </w:r>
      <w:r w:rsidR="005C1CDC" w:rsidRPr="009B2003">
        <w:rPr>
          <w:b w:val="0"/>
          <w:sz w:val="28"/>
          <w:szCs w:val="28"/>
        </w:rPr>
        <w:t>детский сад на 75 мест (с. Алакуртти Кандалакшского района)</w:t>
      </w:r>
      <w:r w:rsidRPr="009B2003">
        <w:rPr>
          <w:rFonts w:eastAsia="Times New Roman"/>
          <w:b w:val="0"/>
          <w:bCs w:val="0"/>
          <w:sz w:val="28"/>
          <w:szCs w:val="28"/>
        </w:rPr>
        <w:t>;</w:t>
      </w:r>
    </w:p>
    <w:p w:rsidR="00FB0F10" w:rsidRPr="009B2003" w:rsidRDefault="00FB0F10" w:rsidP="00FB0F10">
      <w:pPr>
        <w:pStyle w:val="330"/>
        <w:shd w:val="clear" w:color="auto" w:fill="auto"/>
        <w:tabs>
          <w:tab w:val="left" w:pos="1276"/>
        </w:tabs>
        <w:spacing w:before="0" w:after="0" w:line="240" w:lineRule="auto"/>
        <w:ind w:right="-1" w:firstLine="851"/>
        <w:rPr>
          <w:rFonts w:eastAsia="Times New Roman"/>
          <w:b w:val="0"/>
          <w:bCs w:val="0"/>
          <w:sz w:val="28"/>
          <w:szCs w:val="22"/>
        </w:rPr>
      </w:pPr>
      <w:r w:rsidRPr="009B2003">
        <w:rPr>
          <w:rFonts w:eastAsia="Times New Roman"/>
          <w:b w:val="0"/>
          <w:bCs w:val="0"/>
          <w:sz w:val="28"/>
          <w:szCs w:val="22"/>
        </w:rPr>
        <w:t>- </w:t>
      </w:r>
      <w:r w:rsidR="005C1CDC" w:rsidRPr="009B2003">
        <w:rPr>
          <w:rFonts w:eastAsia="Times New Roman"/>
          <w:b w:val="0"/>
          <w:bCs w:val="0"/>
          <w:sz w:val="28"/>
          <w:szCs w:val="22"/>
        </w:rPr>
        <w:t>административно-спортивный комплекс специализированной детско-юношеской спортивной школы олимпийского резерва по горнолыжному спорту (г. Кировск);</w:t>
      </w:r>
    </w:p>
    <w:p w:rsidR="00FB0F10" w:rsidRPr="009B2003" w:rsidRDefault="00FB0F10" w:rsidP="00FB0F10">
      <w:pPr>
        <w:pStyle w:val="330"/>
        <w:shd w:val="clear" w:color="auto" w:fill="auto"/>
        <w:tabs>
          <w:tab w:val="left" w:pos="1276"/>
        </w:tabs>
        <w:spacing w:before="0" w:after="0" w:line="240" w:lineRule="auto"/>
        <w:ind w:right="-1" w:firstLine="851"/>
        <w:rPr>
          <w:rFonts w:eastAsia="Times New Roman"/>
          <w:b w:val="0"/>
          <w:bCs w:val="0"/>
          <w:sz w:val="28"/>
          <w:szCs w:val="22"/>
        </w:rPr>
      </w:pPr>
      <w:r w:rsidRPr="009B2003">
        <w:rPr>
          <w:rFonts w:eastAsia="Times New Roman"/>
          <w:b w:val="0"/>
          <w:bCs w:val="0"/>
          <w:sz w:val="28"/>
          <w:szCs w:val="22"/>
        </w:rPr>
        <w:t>- </w:t>
      </w:r>
      <w:r w:rsidR="008E5C53" w:rsidRPr="009B2003">
        <w:rPr>
          <w:rFonts w:eastAsia="Times New Roman"/>
          <w:b w:val="0"/>
          <w:bCs w:val="0"/>
          <w:sz w:val="28"/>
          <w:szCs w:val="22"/>
        </w:rPr>
        <w:t>л</w:t>
      </w:r>
      <w:r w:rsidR="00E35342" w:rsidRPr="009B2003">
        <w:rPr>
          <w:rFonts w:eastAsia="Times New Roman"/>
          <w:b w:val="0"/>
          <w:bCs w:val="0"/>
          <w:sz w:val="28"/>
          <w:szCs w:val="22"/>
        </w:rPr>
        <w:t>ыжная трасса (</w:t>
      </w:r>
      <w:r w:rsidR="008E5C53" w:rsidRPr="009B2003">
        <w:rPr>
          <w:rFonts w:eastAsia="Times New Roman"/>
          <w:b w:val="0"/>
          <w:bCs w:val="0"/>
          <w:sz w:val="28"/>
          <w:szCs w:val="22"/>
        </w:rPr>
        <w:t>ЗАТО Александровск</w:t>
      </w:r>
      <w:r w:rsidR="00E35342" w:rsidRPr="009B2003">
        <w:rPr>
          <w:rFonts w:eastAsia="Times New Roman"/>
          <w:b w:val="0"/>
          <w:bCs w:val="0"/>
          <w:sz w:val="28"/>
          <w:szCs w:val="22"/>
        </w:rPr>
        <w:t>)</w:t>
      </w:r>
      <w:r w:rsidRPr="009B2003">
        <w:rPr>
          <w:rFonts w:eastAsia="Times New Roman"/>
          <w:b w:val="0"/>
          <w:bCs w:val="0"/>
          <w:sz w:val="28"/>
          <w:szCs w:val="22"/>
        </w:rPr>
        <w:t>.</w:t>
      </w:r>
      <w:r w:rsidR="00096611" w:rsidRPr="009B2003">
        <w:rPr>
          <w:rFonts w:eastAsia="Times New Roman"/>
          <w:b w:val="0"/>
          <w:bCs w:val="0"/>
          <w:sz w:val="28"/>
          <w:szCs w:val="22"/>
        </w:rPr>
        <w:t xml:space="preserve">  </w:t>
      </w:r>
    </w:p>
    <w:p w:rsidR="00FB0F10" w:rsidRDefault="00FB0F10" w:rsidP="00FB0F10">
      <w:pPr>
        <w:rPr>
          <w:bCs/>
          <w:szCs w:val="28"/>
        </w:rPr>
      </w:pPr>
      <w:r w:rsidRPr="009B2003">
        <w:rPr>
          <w:bCs/>
          <w:szCs w:val="28"/>
        </w:rPr>
        <w:t xml:space="preserve">Работы с отставанием от графика осуществлялись на </w:t>
      </w:r>
      <w:r w:rsidR="00096611" w:rsidRPr="009B2003">
        <w:rPr>
          <w:bCs/>
          <w:szCs w:val="28"/>
        </w:rPr>
        <w:t>21</w:t>
      </w:r>
      <w:r w:rsidRPr="009B2003">
        <w:rPr>
          <w:bCs/>
          <w:szCs w:val="28"/>
        </w:rPr>
        <w:t xml:space="preserve"> объект</w:t>
      </w:r>
      <w:r w:rsidR="00096611" w:rsidRPr="009B2003">
        <w:rPr>
          <w:bCs/>
          <w:szCs w:val="28"/>
        </w:rPr>
        <w:t>е</w:t>
      </w:r>
      <w:r w:rsidR="00A842EF" w:rsidRPr="009B2003">
        <w:rPr>
          <w:bCs/>
          <w:szCs w:val="28"/>
        </w:rPr>
        <w:t xml:space="preserve">, </w:t>
      </w:r>
      <w:r w:rsidR="00A842EF" w:rsidRPr="009B2003">
        <w:rPr>
          <w:szCs w:val="28"/>
        </w:rPr>
        <w:t xml:space="preserve">по 3 объектам работы были приостановлены, не выполнялись работы по 8 объектам. </w:t>
      </w:r>
      <w:r w:rsidR="00A842EF" w:rsidRPr="009B2003">
        <w:rPr>
          <w:bCs/>
          <w:szCs w:val="28"/>
        </w:rPr>
        <w:t xml:space="preserve">Основными причинами отставания от графика и приостановки работ </w:t>
      </w:r>
      <w:r w:rsidRPr="009B2003">
        <w:rPr>
          <w:bCs/>
          <w:szCs w:val="28"/>
        </w:rPr>
        <w:t>являлись: невыполнение подрядными организациями взятых на себя обязательств и выявление необходимости проведения дополнительных работ в ходе строительства объектов.</w:t>
      </w:r>
    </w:p>
    <w:p w:rsidR="00FB0F10" w:rsidRPr="004E1820" w:rsidRDefault="00FB0F10" w:rsidP="00FB0F10">
      <w:pPr>
        <w:tabs>
          <w:tab w:val="left" w:pos="1134"/>
        </w:tabs>
        <w:ind w:left="142" w:firstLine="0"/>
        <w:rPr>
          <w:szCs w:val="28"/>
        </w:rPr>
      </w:pPr>
      <w:r w:rsidRPr="004E1820">
        <w:rPr>
          <w:noProof/>
        </w:rPr>
        <w:drawing>
          <wp:inline distT="0" distB="0" distL="0" distR="0">
            <wp:extent cx="6019800" cy="2828925"/>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B2003" w:rsidRPr="004E1820" w:rsidRDefault="009B2003" w:rsidP="009B2003">
      <w:pPr>
        <w:ind w:firstLine="0"/>
        <w:jc w:val="center"/>
        <w:rPr>
          <w:sz w:val="24"/>
          <w:szCs w:val="28"/>
        </w:rPr>
      </w:pPr>
      <w:r w:rsidRPr="004E1820">
        <w:rPr>
          <w:sz w:val="24"/>
          <w:szCs w:val="28"/>
        </w:rPr>
        <w:t xml:space="preserve">Рисунок </w:t>
      </w:r>
      <w:r>
        <w:rPr>
          <w:sz w:val="24"/>
          <w:szCs w:val="28"/>
        </w:rPr>
        <w:t>4</w:t>
      </w:r>
    </w:p>
    <w:p w:rsidR="002C0B9B" w:rsidRPr="004E1820" w:rsidRDefault="002C0B9B" w:rsidP="002C0B9B">
      <w:pPr>
        <w:rPr>
          <w:b/>
          <w:szCs w:val="28"/>
        </w:rPr>
      </w:pPr>
      <w:r w:rsidRPr="004E1820">
        <w:rPr>
          <w:b/>
          <w:szCs w:val="28"/>
        </w:rPr>
        <w:lastRenderedPageBreak/>
        <w:t>4. Финансирование</w:t>
      </w:r>
    </w:p>
    <w:p w:rsidR="007071A1" w:rsidRPr="007071A1" w:rsidRDefault="007071A1" w:rsidP="007071A1">
      <w:pPr>
        <w:rPr>
          <w:szCs w:val="28"/>
        </w:rPr>
      </w:pPr>
      <w:r w:rsidRPr="007071A1">
        <w:rPr>
          <w:szCs w:val="28"/>
        </w:rPr>
        <w:t>По состоянию на конец 2023 года общий объем финансирования, запланированный на реализацию 1</w:t>
      </w:r>
      <w:r w:rsidR="00110C3E">
        <w:rPr>
          <w:szCs w:val="28"/>
        </w:rPr>
        <w:t>5</w:t>
      </w:r>
      <w:r w:rsidRPr="007071A1">
        <w:rPr>
          <w:szCs w:val="28"/>
        </w:rPr>
        <w:t xml:space="preserve"> государственных программ, составил 156,3 млрд рублей, в том числе за счет средств областного бюджета 114,6 млрд рублей.</w:t>
      </w:r>
    </w:p>
    <w:p w:rsidR="007071A1" w:rsidRPr="007071A1" w:rsidRDefault="007071A1" w:rsidP="007071A1">
      <w:pPr>
        <w:rPr>
          <w:szCs w:val="28"/>
        </w:rPr>
      </w:pPr>
      <w:r w:rsidRPr="007071A1">
        <w:rPr>
          <w:szCs w:val="28"/>
        </w:rPr>
        <w:t xml:space="preserve">Плановые объемы софинансирования мероприятий государственных программ за счет средств федерального бюджета сохранились на уровне 2022 </w:t>
      </w:r>
      <w:r w:rsidR="00110C3E">
        <w:rPr>
          <w:szCs w:val="28"/>
        </w:rPr>
        <w:t>года и составили 18,</w:t>
      </w:r>
      <w:r w:rsidRPr="007071A1">
        <w:rPr>
          <w:szCs w:val="28"/>
        </w:rPr>
        <w:t>1 млрд рублей.</w:t>
      </w:r>
    </w:p>
    <w:p w:rsidR="007071A1" w:rsidRPr="007071A1" w:rsidRDefault="007071A1" w:rsidP="007071A1">
      <w:pPr>
        <w:rPr>
          <w:szCs w:val="28"/>
        </w:rPr>
      </w:pPr>
      <w:r w:rsidRPr="007071A1">
        <w:rPr>
          <w:szCs w:val="28"/>
        </w:rPr>
        <w:t>Фактическое исполнение на 31 декабря 2023 года составило 147,2 млрд рублей – 94,2 % от запланированных на год объемов (таблица 1).</w:t>
      </w:r>
    </w:p>
    <w:p w:rsidR="007071A1" w:rsidRDefault="007071A1" w:rsidP="007071A1">
      <w:pPr>
        <w:rPr>
          <w:szCs w:val="28"/>
        </w:rPr>
      </w:pPr>
      <w:r w:rsidRPr="007071A1">
        <w:rPr>
          <w:szCs w:val="28"/>
        </w:rPr>
        <w:t>По сравнению с результатами 2022 года степень освоения предусмотренных объемов финансовых средств увеличилась на 4,6 п.п., в том числе за счет увеличения уровня освоения средств ОБ – на 3,9 п.п., ФБ – на 8,7 п.п., ВБС – на 5,9 п.п., при одновременном снижении уровня освоения средств МБ на 5,1 п.п.</w:t>
      </w:r>
    </w:p>
    <w:p w:rsidR="002C0B9B" w:rsidRPr="004E1820" w:rsidRDefault="002C0B9B" w:rsidP="002C0B9B">
      <w:pPr>
        <w:jc w:val="right"/>
        <w:rPr>
          <w:sz w:val="24"/>
          <w:szCs w:val="24"/>
        </w:rPr>
      </w:pPr>
      <w:r w:rsidRPr="004E1820">
        <w:rPr>
          <w:sz w:val="24"/>
          <w:szCs w:val="24"/>
        </w:rPr>
        <w:t>Таблица 1</w:t>
      </w:r>
    </w:p>
    <w:tbl>
      <w:tblPr>
        <w:tblW w:w="9629" w:type="dxa"/>
        <w:tblInd w:w="118" w:type="dxa"/>
        <w:tblLook w:val="04A0" w:firstRow="1" w:lastRow="0" w:firstColumn="1" w:lastColumn="0" w:noHBand="0" w:noVBand="1"/>
      </w:tblPr>
      <w:tblGrid>
        <w:gridCol w:w="3251"/>
        <w:gridCol w:w="2126"/>
        <w:gridCol w:w="1984"/>
        <w:gridCol w:w="2268"/>
      </w:tblGrid>
      <w:tr w:rsidR="00110C3E" w:rsidRPr="00110C3E" w:rsidTr="00110C3E">
        <w:trPr>
          <w:trHeight w:val="960"/>
        </w:trPr>
        <w:tc>
          <w:tcPr>
            <w:tcW w:w="32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10C3E" w:rsidRPr="00110C3E" w:rsidRDefault="00110C3E" w:rsidP="00067FE0">
            <w:pPr>
              <w:ind w:firstLine="0"/>
              <w:jc w:val="center"/>
              <w:rPr>
                <w:color w:val="000000"/>
                <w:sz w:val="24"/>
                <w:szCs w:val="24"/>
              </w:rPr>
            </w:pPr>
            <w:r w:rsidRPr="00110C3E">
              <w:rPr>
                <w:color w:val="000000"/>
                <w:sz w:val="24"/>
                <w:szCs w:val="24"/>
              </w:rPr>
              <w:t>Всего по государственным программам</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rsidR="00110C3E" w:rsidRPr="00110C3E" w:rsidRDefault="00110C3E" w:rsidP="00067FE0">
            <w:pPr>
              <w:ind w:firstLine="0"/>
              <w:jc w:val="center"/>
              <w:rPr>
                <w:color w:val="000000"/>
                <w:sz w:val="24"/>
                <w:szCs w:val="24"/>
              </w:rPr>
            </w:pPr>
            <w:r w:rsidRPr="00110C3E">
              <w:rPr>
                <w:color w:val="000000"/>
                <w:sz w:val="24"/>
                <w:szCs w:val="24"/>
              </w:rPr>
              <w:t>Запланировано на год, млн. рублей</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110C3E" w:rsidRPr="00110C3E" w:rsidRDefault="00110C3E" w:rsidP="00067FE0">
            <w:pPr>
              <w:ind w:firstLine="0"/>
              <w:jc w:val="center"/>
              <w:rPr>
                <w:color w:val="000000"/>
                <w:sz w:val="24"/>
                <w:szCs w:val="24"/>
              </w:rPr>
            </w:pPr>
            <w:r w:rsidRPr="00110C3E">
              <w:rPr>
                <w:color w:val="000000"/>
                <w:sz w:val="24"/>
                <w:szCs w:val="24"/>
              </w:rPr>
              <w:t>Исполнение, млн. рублей</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110C3E" w:rsidRPr="00110C3E" w:rsidRDefault="00110C3E" w:rsidP="00067FE0">
            <w:pPr>
              <w:ind w:firstLine="0"/>
              <w:jc w:val="center"/>
              <w:rPr>
                <w:color w:val="000000"/>
                <w:sz w:val="24"/>
                <w:szCs w:val="24"/>
              </w:rPr>
            </w:pPr>
            <w:r w:rsidRPr="00110C3E">
              <w:rPr>
                <w:color w:val="000000"/>
                <w:sz w:val="24"/>
                <w:szCs w:val="24"/>
              </w:rPr>
              <w:t>Степень освоения средств</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noWrap/>
            <w:vAlign w:val="center"/>
          </w:tcPr>
          <w:p w:rsidR="00110C3E" w:rsidRPr="00110C3E" w:rsidRDefault="00110C3E" w:rsidP="00067FE0">
            <w:pPr>
              <w:ind w:firstLine="0"/>
              <w:jc w:val="left"/>
              <w:rPr>
                <w:color w:val="000000"/>
                <w:sz w:val="24"/>
                <w:szCs w:val="24"/>
              </w:rPr>
            </w:pPr>
            <w:r w:rsidRPr="00110C3E">
              <w:rPr>
                <w:color w:val="000000"/>
                <w:sz w:val="24"/>
                <w:szCs w:val="24"/>
              </w:rPr>
              <w:t xml:space="preserve">Всего </w:t>
            </w:r>
            <w:r w:rsidRPr="00110C3E">
              <w:rPr>
                <w:b/>
                <w:bCs/>
                <w:color w:val="000000"/>
                <w:sz w:val="24"/>
                <w:szCs w:val="24"/>
              </w:rPr>
              <w:t>за 2023 го</w:t>
            </w:r>
            <w:r w:rsidRPr="00110C3E">
              <w:rPr>
                <w:color w:val="000000"/>
                <w:sz w:val="24"/>
                <w:szCs w:val="24"/>
              </w:rPr>
              <w:t>д, в т.ч.:</w:t>
            </w:r>
          </w:p>
        </w:tc>
        <w:tc>
          <w:tcPr>
            <w:tcW w:w="2126"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b/>
                <w:bCs/>
                <w:sz w:val="24"/>
                <w:szCs w:val="20"/>
              </w:rPr>
              <w:t>156 303,5</w:t>
            </w:r>
          </w:p>
        </w:tc>
        <w:tc>
          <w:tcPr>
            <w:tcW w:w="1984"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b/>
                <w:bCs/>
                <w:sz w:val="24"/>
                <w:szCs w:val="20"/>
              </w:rPr>
              <w:t>147 211,1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0C3E" w:rsidRPr="00110C3E" w:rsidRDefault="00110C3E" w:rsidP="00067FE0">
            <w:pPr>
              <w:ind w:firstLine="0"/>
              <w:jc w:val="center"/>
              <w:rPr>
                <w:b/>
                <w:bCs/>
                <w:sz w:val="24"/>
                <w:szCs w:val="20"/>
              </w:rPr>
            </w:pPr>
            <w:r w:rsidRPr="00110C3E">
              <w:rPr>
                <w:b/>
                <w:bCs/>
                <w:sz w:val="24"/>
                <w:szCs w:val="20"/>
              </w:rPr>
              <w:t>94,2%</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noWrap/>
            <w:vAlign w:val="center"/>
          </w:tcPr>
          <w:p w:rsidR="00110C3E" w:rsidRPr="00110C3E" w:rsidRDefault="00110C3E" w:rsidP="00067FE0">
            <w:pPr>
              <w:ind w:firstLine="0"/>
              <w:jc w:val="right"/>
              <w:rPr>
                <w:color w:val="000000"/>
                <w:sz w:val="24"/>
                <w:szCs w:val="24"/>
              </w:rPr>
            </w:pPr>
            <w:r w:rsidRPr="00110C3E">
              <w:rPr>
                <w:color w:val="000000"/>
                <w:sz w:val="24"/>
                <w:szCs w:val="24"/>
              </w:rPr>
              <w:t>ОБ</w:t>
            </w:r>
          </w:p>
        </w:tc>
        <w:tc>
          <w:tcPr>
            <w:tcW w:w="2126"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sz w:val="24"/>
                <w:szCs w:val="20"/>
              </w:rPr>
              <w:t>114 591,3</w:t>
            </w:r>
          </w:p>
        </w:tc>
        <w:tc>
          <w:tcPr>
            <w:tcW w:w="1984"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sz w:val="24"/>
                <w:szCs w:val="20"/>
              </w:rPr>
              <w:t>107 330,6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0C3E" w:rsidRPr="00110C3E" w:rsidRDefault="00110C3E" w:rsidP="00067FE0">
            <w:pPr>
              <w:ind w:firstLine="0"/>
              <w:jc w:val="center"/>
              <w:rPr>
                <w:b/>
                <w:bCs/>
                <w:sz w:val="24"/>
                <w:szCs w:val="20"/>
              </w:rPr>
            </w:pPr>
            <w:r w:rsidRPr="00110C3E">
              <w:rPr>
                <w:sz w:val="24"/>
                <w:szCs w:val="20"/>
              </w:rPr>
              <w:t>93,7%</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noWrap/>
            <w:vAlign w:val="center"/>
          </w:tcPr>
          <w:p w:rsidR="00110C3E" w:rsidRPr="00110C3E" w:rsidRDefault="00110C3E" w:rsidP="00067FE0">
            <w:pPr>
              <w:ind w:firstLine="0"/>
              <w:jc w:val="right"/>
              <w:rPr>
                <w:color w:val="000000"/>
                <w:sz w:val="24"/>
                <w:szCs w:val="24"/>
              </w:rPr>
            </w:pPr>
            <w:r w:rsidRPr="00110C3E">
              <w:rPr>
                <w:color w:val="000000"/>
                <w:sz w:val="24"/>
                <w:szCs w:val="24"/>
              </w:rPr>
              <w:t>ФБ</w:t>
            </w:r>
          </w:p>
        </w:tc>
        <w:tc>
          <w:tcPr>
            <w:tcW w:w="2126"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sz w:val="24"/>
                <w:szCs w:val="20"/>
              </w:rPr>
              <w:t>18 105,6</w:t>
            </w:r>
          </w:p>
        </w:tc>
        <w:tc>
          <w:tcPr>
            <w:tcW w:w="1984"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sz w:val="24"/>
                <w:szCs w:val="20"/>
              </w:rPr>
              <w:t>16 871,0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0C3E" w:rsidRPr="00110C3E" w:rsidRDefault="00110C3E" w:rsidP="00067FE0">
            <w:pPr>
              <w:ind w:firstLine="0"/>
              <w:jc w:val="center"/>
              <w:rPr>
                <w:b/>
                <w:bCs/>
                <w:sz w:val="24"/>
                <w:szCs w:val="20"/>
              </w:rPr>
            </w:pPr>
            <w:r w:rsidRPr="00110C3E">
              <w:rPr>
                <w:sz w:val="24"/>
                <w:szCs w:val="20"/>
              </w:rPr>
              <w:t>93,2%</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noWrap/>
            <w:vAlign w:val="center"/>
          </w:tcPr>
          <w:p w:rsidR="00110C3E" w:rsidRPr="00110C3E" w:rsidRDefault="00110C3E" w:rsidP="00067FE0">
            <w:pPr>
              <w:ind w:firstLine="0"/>
              <w:jc w:val="right"/>
              <w:rPr>
                <w:color w:val="000000"/>
                <w:sz w:val="24"/>
                <w:szCs w:val="24"/>
              </w:rPr>
            </w:pPr>
            <w:r w:rsidRPr="00110C3E">
              <w:rPr>
                <w:color w:val="000000"/>
                <w:sz w:val="24"/>
                <w:szCs w:val="24"/>
              </w:rPr>
              <w:t>МБ</w:t>
            </w:r>
          </w:p>
        </w:tc>
        <w:tc>
          <w:tcPr>
            <w:tcW w:w="2126"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sz w:val="24"/>
                <w:szCs w:val="20"/>
              </w:rPr>
              <w:t>2 271,4</w:t>
            </w:r>
          </w:p>
        </w:tc>
        <w:tc>
          <w:tcPr>
            <w:tcW w:w="1984"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sz w:val="24"/>
                <w:szCs w:val="20"/>
              </w:rPr>
              <w:t>1 276,9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0C3E" w:rsidRPr="00110C3E" w:rsidRDefault="00110C3E" w:rsidP="00067FE0">
            <w:pPr>
              <w:ind w:firstLine="0"/>
              <w:jc w:val="center"/>
              <w:rPr>
                <w:b/>
                <w:bCs/>
                <w:sz w:val="24"/>
                <w:szCs w:val="20"/>
              </w:rPr>
            </w:pPr>
            <w:r w:rsidRPr="00110C3E">
              <w:rPr>
                <w:sz w:val="24"/>
                <w:szCs w:val="20"/>
              </w:rPr>
              <w:t>56,2%</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noWrap/>
            <w:vAlign w:val="center"/>
          </w:tcPr>
          <w:p w:rsidR="00110C3E" w:rsidRPr="00110C3E" w:rsidRDefault="00110C3E" w:rsidP="00067FE0">
            <w:pPr>
              <w:ind w:firstLine="0"/>
              <w:jc w:val="right"/>
              <w:rPr>
                <w:color w:val="000000"/>
                <w:sz w:val="24"/>
                <w:szCs w:val="24"/>
              </w:rPr>
            </w:pPr>
            <w:r w:rsidRPr="00110C3E">
              <w:rPr>
                <w:color w:val="000000"/>
                <w:sz w:val="24"/>
                <w:szCs w:val="24"/>
              </w:rPr>
              <w:t>ВБС</w:t>
            </w:r>
          </w:p>
        </w:tc>
        <w:tc>
          <w:tcPr>
            <w:tcW w:w="2126"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sz w:val="24"/>
                <w:szCs w:val="20"/>
              </w:rPr>
              <w:t>21 335,3</w:t>
            </w:r>
          </w:p>
        </w:tc>
        <w:tc>
          <w:tcPr>
            <w:tcW w:w="1984" w:type="dxa"/>
            <w:tcBorders>
              <w:top w:val="nil"/>
              <w:left w:val="nil"/>
              <w:bottom w:val="single" w:sz="8" w:space="0" w:color="auto"/>
              <w:right w:val="single" w:sz="8" w:space="0" w:color="auto"/>
            </w:tcBorders>
            <w:shd w:val="clear" w:color="auto" w:fill="auto"/>
            <w:noWrap/>
          </w:tcPr>
          <w:p w:rsidR="00110C3E" w:rsidRPr="00110C3E" w:rsidRDefault="00110C3E" w:rsidP="00067FE0">
            <w:pPr>
              <w:ind w:firstLine="0"/>
              <w:jc w:val="right"/>
              <w:rPr>
                <w:b/>
                <w:bCs/>
                <w:color w:val="000000"/>
                <w:sz w:val="24"/>
                <w:szCs w:val="20"/>
              </w:rPr>
            </w:pPr>
            <w:r w:rsidRPr="00110C3E">
              <w:rPr>
                <w:sz w:val="24"/>
                <w:szCs w:val="20"/>
              </w:rPr>
              <w:t>21 732,6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0C3E" w:rsidRPr="00110C3E" w:rsidRDefault="00110C3E" w:rsidP="00067FE0">
            <w:pPr>
              <w:ind w:firstLine="0"/>
              <w:jc w:val="center"/>
              <w:rPr>
                <w:b/>
                <w:bCs/>
                <w:sz w:val="24"/>
                <w:szCs w:val="20"/>
              </w:rPr>
            </w:pPr>
            <w:r w:rsidRPr="00110C3E">
              <w:rPr>
                <w:sz w:val="24"/>
                <w:szCs w:val="20"/>
              </w:rPr>
              <w:t>101,9%</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noWrap/>
            <w:vAlign w:val="center"/>
            <w:hideMark/>
          </w:tcPr>
          <w:p w:rsidR="00110C3E" w:rsidRPr="00110C3E" w:rsidRDefault="00110C3E" w:rsidP="00067FE0">
            <w:pPr>
              <w:ind w:firstLine="0"/>
              <w:jc w:val="left"/>
              <w:rPr>
                <w:color w:val="000000"/>
                <w:sz w:val="24"/>
                <w:szCs w:val="24"/>
              </w:rPr>
            </w:pPr>
            <w:r w:rsidRPr="00110C3E">
              <w:rPr>
                <w:color w:val="000000"/>
                <w:sz w:val="24"/>
                <w:szCs w:val="24"/>
              </w:rPr>
              <w:t xml:space="preserve">Всего </w:t>
            </w:r>
            <w:r w:rsidRPr="00110C3E">
              <w:rPr>
                <w:b/>
                <w:bCs/>
                <w:color w:val="000000"/>
                <w:sz w:val="24"/>
                <w:szCs w:val="24"/>
              </w:rPr>
              <w:t>за 2022 го</w:t>
            </w:r>
            <w:r w:rsidRPr="00110C3E">
              <w:rPr>
                <w:color w:val="000000"/>
                <w:sz w:val="24"/>
                <w:szCs w:val="24"/>
              </w:rPr>
              <w:t>д, в т.ч.:</w:t>
            </w:r>
          </w:p>
        </w:tc>
        <w:tc>
          <w:tcPr>
            <w:tcW w:w="2126"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b/>
                <w:bCs/>
                <w:color w:val="000000"/>
                <w:sz w:val="24"/>
                <w:szCs w:val="24"/>
              </w:rPr>
            </w:pPr>
            <w:r w:rsidRPr="00110C3E">
              <w:rPr>
                <w:b/>
                <w:bCs/>
                <w:color w:val="000000"/>
                <w:sz w:val="24"/>
                <w:szCs w:val="24"/>
              </w:rPr>
              <w:t>160 114,3</w:t>
            </w:r>
          </w:p>
        </w:tc>
        <w:tc>
          <w:tcPr>
            <w:tcW w:w="1984"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b/>
                <w:bCs/>
                <w:color w:val="000000"/>
                <w:sz w:val="24"/>
                <w:szCs w:val="24"/>
              </w:rPr>
            </w:pPr>
            <w:r w:rsidRPr="00110C3E">
              <w:rPr>
                <w:b/>
                <w:bCs/>
                <w:color w:val="000000"/>
                <w:sz w:val="24"/>
                <w:szCs w:val="24"/>
              </w:rPr>
              <w:t>143 430,7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C3E" w:rsidRPr="00110C3E" w:rsidRDefault="00110C3E" w:rsidP="00067FE0">
            <w:pPr>
              <w:ind w:firstLine="0"/>
              <w:jc w:val="center"/>
              <w:rPr>
                <w:b/>
                <w:bCs/>
                <w:sz w:val="24"/>
                <w:szCs w:val="24"/>
              </w:rPr>
            </w:pPr>
            <w:r w:rsidRPr="00110C3E">
              <w:rPr>
                <w:b/>
                <w:bCs/>
                <w:sz w:val="24"/>
                <w:szCs w:val="24"/>
              </w:rPr>
              <w:t>89,6%</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vAlign w:val="center"/>
            <w:hideMark/>
          </w:tcPr>
          <w:p w:rsidR="00110C3E" w:rsidRPr="00110C3E" w:rsidRDefault="00110C3E" w:rsidP="00067FE0">
            <w:pPr>
              <w:ind w:firstLine="0"/>
              <w:jc w:val="right"/>
              <w:rPr>
                <w:color w:val="000000"/>
                <w:sz w:val="24"/>
                <w:szCs w:val="24"/>
              </w:rPr>
            </w:pPr>
            <w:r w:rsidRPr="00110C3E">
              <w:rPr>
                <w:color w:val="000000"/>
                <w:sz w:val="24"/>
                <w:szCs w:val="24"/>
              </w:rPr>
              <w:t>ОБ</w:t>
            </w:r>
          </w:p>
        </w:tc>
        <w:tc>
          <w:tcPr>
            <w:tcW w:w="2126"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color w:val="000000"/>
                <w:sz w:val="24"/>
                <w:szCs w:val="24"/>
              </w:rPr>
            </w:pPr>
            <w:r w:rsidRPr="00110C3E">
              <w:rPr>
                <w:color w:val="000000"/>
                <w:sz w:val="24"/>
                <w:szCs w:val="24"/>
              </w:rPr>
              <w:t>120 199,1</w:t>
            </w:r>
          </w:p>
        </w:tc>
        <w:tc>
          <w:tcPr>
            <w:tcW w:w="1984"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color w:val="000000"/>
                <w:sz w:val="24"/>
                <w:szCs w:val="24"/>
              </w:rPr>
            </w:pPr>
            <w:r w:rsidRPr="00110C3E">
              <w:rPr>
                <w:color w:val="000000"/>
                <w:sz w:val="24"/>
                <w:szCs w:val="24"/>
              </w:rPr>
              <w:t>107 906,2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110C3E" w:rsidRPr="00110C3E" w:rsidRDefault="00110C3E" w:rsidP="00067FE0">
            <w:pPr>
              <w:ind w:firstLine="0"/>
              <w:jc w:val="center"/>
              <w:rPr>
                <w:sz w:val="24"/>
                <w:szCs w:val="24"/>
              </w:rPr>
            </w:pPr>
            <w:r w:rsidRPr="00110C3E">
              <w:rPr>
                <w:sz w:val="24"/>
                <w:szCs w:val="24"/>
              </w:rPr>
              <w:t>89,8%</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vAlign w:val="center"/>
            <w:hideMark/>
          </w:tcPr>
          <w:p w:rsidR="00110C3E" w:rsidRPr="00110C3E" w:rsidRDefault="00110C3E" w:rsidP="00067FE0">
            <w:pPr>
              <w:ind w:firstLine="0"/>
              <w:jc w:val="right"/>
              <w:rPr>
                <w:color w:val="000000"/>
                <w:sz w:val="24"/>
                <w:szCs w:val="24"/>
              </w:rPr>
            </w:pPr>
            <w:r w:rsidRPr="00110C3E">
              <w:rPr>
                <w:color w:val="000000"/>
                <w:sz w:val="24"/>
                <w:szCs w:val="24"/>
              </w:rPr>
              <w:t>ФБ</w:t>
            </w:r>
          </w:p>
        </w:tc>
        <w:tc>
          <w:tcPr>
            <w:tcW w:w="2126"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color w:val="000000"/>
                <w:sz w:val="24"/>
                <w:szCs w:val="24"/>
              </w:rPr>
            </w:pPr>
            <w:r w:rsidRPr="00110C3E">
              <w:rPr>
                <w:color w:val="000000"/>
                <w:sz w:val="24"/>
                <w:szCs w:val="24"/>
              </w:rPr>
              <w:t>18 049,9</w:t>
            </w:r>
          </w:p>
        </w:tc>
        <w:tc>
          <w:tcPr>
            <w:tcW w:w="1984"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color w:val="000000"/>
                <w:sz w:val="24"/>
                <w:szCs w:val="24"/>
              </w:rPr>
            </w:pPr>
            <w:r w:rsidRPr="00110C3E">
              <w:rPr>
                <w:color w:val="000000"/>
                <w:sz w:val="24"/>
                <w:szCs w:val="24"/>
              </w:rPr>
              <w:t>15 256,4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110C3E" w:rsidRPr="00110C3E" w:rsidRDefault="00110C3E" w:rsidP="00067FE0">
            <w:pPr>
              <w:ind w:firstLine="0"/>
              <w:jc w:val="center"/>
              <w:rPr>
                <w:sz w:val="24"/>
                <w:szCs w:val="24"/>
              </w:rPr>
            </w:pPr>
            <w:r w:rsidRPr="00110C3E">
              <w:rPr>
                <w:sz w:val="24"/>
                <w:szCs w:val="24"/>
              </w:rPr>
              <w:t>84,5%</w:t>
            </w:r>
          </w:p>
        </w:tc>
      </w:tr>
      <w:tr w:rsidR="00110C3E" w:rsidRPr="00110C3E" w:rsidTr="00110C3E">
        <w:trPr>
          <w:trHeight w:val="330"/>
        </w:trPr>
        <w:tc>
          <w:tcPr>
            <w:tcW w:w="3251" w:type="dxa"/>
            <w:tcBorders>
              <w:top w:val="nil"/>
              <w:left w:val="single" w:sz="8" w:space="0" w:color="auto"/>
              <w:bottom w:val="single" w:sz="8" w:space="0" w:color="auto"/>
              <w:right w:val="single" w:sz="8" w:space="0" w:color="auto"/>
            </w:tcBorders>
            <w:shd w:val="clear" w:color="auto" w:fill="auto"/>
            <w:vAlign w:val="center"/>
            <w:hideMark/>
          </w:tcPr>
          <w:p w:rsidR="00110C3E" w:rsidRPr="00110C3E" w:rsidRDefault="00110C3E" w:rsidP="00067FE0">
            <w:pPr>
              <w:ind w:firstLine="0"/>
              <w:jc w:val="right"/>
              <w:rPr>
                <w:color w:val="000000"/>
                <w:sz w:val="24"/>
                <w:szCs w:val="24"/>
              </w:rPr>
            </w:pPr>
            <w:r w:rsidRPr="00110C3E">
              <w:rPr>
                <w:color w:val="000000"/>
                <w:sz w:val="24"/>
                <w:szCs w:val="24"/>
              </w:rPr>
              <w:t>МБ</w:t>
            </w:r>
          </w:p>
        </w:tc>
        <w:tc>
          <w:tcPr>
            <w:tcW w:w="2126"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color w:val="000000"/>
                <w:sz w:val="24"/>
                <w:szCs w:val="24"/>
              </w:rPr>
            </w:pPr>
            <w:r w:rsidRPr="00110C3E">
              <w:rPr>
                <w:color w:val="000000"/>
                <w:sz w:val="24"/>
                <w:szCs w:val="24"/>
              </w:rPr>
              <w:t>2 105,1</w:t>
            </w:r>
          </w:p>
        </w:tc>
        <w:tc>
          <w:tcPr>
            <w:tcW w:w="1984"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color w:val="000000"/>
                <w:sz w:val="24"/>
                <w:szCs w:val="24"/>
              </w:rPr>
            </w:pPr>
            <w:r w:rsidRPr="00110C3E">
              <w:rPr>
                <w:color w:val="000000"/>
                <w:sz w:val="24"/>
                <w:szCs w:val="24"/>
              </w:rPr>
              <w:t>1 291,4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110C3E" w:rsidRPr="00110C3E" w:rsidRDefault="00110C3E" w:rsidP="00067FE0">
            <w:pPr>
              <w:ind w:firstLine="0"/>
              <w:jc w:val="center"/>
              <w:rPr>
                <w:sz w:val="24"/>
                <w:szCs w:val="24"/>
              </w:rPr>
            </w:pPr>
            <w:r w:rsidRPr="00110C3E">
              <w:rPr>
                <w:sz w:val="24"/>
                <w:szCs w:val="24"/>
              </w:rPr>
              <w:t>61,3%</w:t>
            </w:r>
          </w:p>
        </w:tc>
      </w:tr>
      <w:tr w:rsidR="00110C3E" w:rsidRPr="004E1820" w:rsidTr="00110C3E">
        <w:trPr>
          <w:trHeight w:val="330"/>
        </w:trPr>
        <w:tc>
          <w:tcPr>
            <w:tcW w:w="3251" w:type="dxa"/>
            <w:tcBorders>
              <w:top w:val="nil"/>
              <w:left w:val="single" w:sz="8" w:space="0" w:color="auto"/>
              <w:bottom w:val="single" w:sz="8" w:space="0" w:color="auto"/>
              <w:right w:val="single" w:sz="8" w:space="0" w:color="auto"/>
            </w:tcBorders>
            <w:shd w:val="clear" w:color="auto" w:fill="auto"/>
            <w:vAlign w:val="center"/>
            <w:hideMark/>
          </w:tcPr>
          <w:p w:rsidR="00110C3E" w:rsidRPr="00110C3E" w:rsidRDefault="00110C3E" w:rsidP="00067FE0">
            <w:pPr>
              <w:ind w:firstLine="0"/>
              <w:jc w:val="right"/>
              <w:rPr>
                <w:color w:val="000000"/>
                <w:sz w:val="24"/>
                <w:szCs w:val="24"/>
              </w:rPr>
            </w:pPr>
            <w:r w:rsidRPr="00110C3E">
              <w:rPr>
                <w:color w:val="000000"/>
                <w:sz w:val="24"/>
                <w:szCs w:val="24"/>
              </w:rPr>
              <w:t>ВБС</w:t>
            </w:r>
          </w:p>
        </w:tc>
        <w:tc>
          <w:tcPr>
            <w:tcW w:w="2126"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color w:val="000000"/>
                <w:sz w:val="24"/>
                <w:szCs w:val="24"/>
              </w:rPr>
            </w:pPr>
            <w:r w:rsidRPr="00110C3E">
              <w:rPr>
                <w:color w:val="000000"/>
                <w:sz w:val="24"/>
                <w:szCs w:val="24"/>
              </w:rPr>
              <w:t>19 760,2</w:t>
            </w:r>
          </w:p>
        </w:tc>
        <w:tc>
          <w:tcPr>
            <w:tcW w:w="1984" w:type="dxa"/>
            <w:tcBorders>
              <w:top w:val="nil"/>
              <w:left w:val="nil"/>
              <w:bottom w:val="single" w:sz="8" w:space="0" w:color="auto"/>
              <w:right w:val="single" w:sz="8" w:space="0" w:color="auto"/>
            </w:tcBorders>
            <w:shd w:val="clear" w:color="auto" w:fill="auto"/>
            <w:noWrap/>
            <w:vAlign w:val="center"/>
            <w:hideMark/>
          </w:tcPr>
          <w:p w:rsidR="00110C3E" w:rsidRPr="00110C3E" w:rsidRDefault="00110C3E" w:rsidP="00067FE0">
            <w:pPr>
              <w:ind w:firstLine="0"/>
              <w:jc w:val="right"/>
              <w:rPr>
                <w:color w:val="000000"/>
                <w:sz w:val="24"/>
                <w:szCs w:val="24"/>
              </w:rPr>
            </w:pPr>
            <w:r w:rsidRPr="00110C3E">
              <w:rPr>
                <w:color w:val="000000"/>
                <w:sz w:val="24"/>
                <w:szCs w:val="24"/>
              </w:rPr>
              <w:t>18 976,8</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110C3E" w:rsidRPr="004E1820" w:rsidRDefault="00110C3E" w:rsidP="00067FE0">
            <w:pPr>
              <w:ind w:firstLine="0"/>
              <w:jc w:val="center"/>
              <w:rPr>
                <w:sz w:val="24"/>
                <w:szCs w:val="24"/>
              </w:rPr>
            </w:pPr>
            <w:r w:rsidRPr="00110C3E">
              <w:rPr>
                <w:sz w:val="24"/>
                <w:szCs w:val="24"/>
              </w:rPr>
              <w:t>96,0%</w:t>
            </w:r>
          </w:p>
        </w:tc>
      </w:tr>
    </w:tbl>
    <w:p w:rsidR="00D51DE8" w:rsidRPr="004E1820" w:rsidRDefault="00D51DE8" w:rsidP="00CF521F">
      <w:pPr>
        <w:autoSpaceDE w:val="0"/>
        <w:autoSpaceDN w:val="0"/>
        <w:rPr>
          <w:szCs w:val="28"/>
        </w:rPr>
      </w:pPr>
    </w:p>
    <w:p w:rsidR="002C0B9B" w:rsidRPr="00E11944" w:rsidRDefault="002C0B9B" w:rsidP="002C0B9B">
      <w:pPr>
        <w:rPr>
          <w:szCs w:val="28"/>
        </w:rPr>
      </w:pPr>
      <w:r w:rsidRPr="004E1820">
        <w:rPr>
          <w:szCs w:val="28"/>
        </w:rPr>
        <w:t>В 202</w:t>
      </w:r>
      <w:r w:rsidR="00837A31">
        <w:rPr>
          <w:szCs w:val="28"/>
        </w:rPr>
        <w:t>3</w:t>
      </w:r>
      <w:r w:rsidRPr="004E1820">
        <w:rPr>
          <w:szCs w:val="28"/>
        </w:rPr>
        <w:t xml:space="preserve"> году значительная часть от общего объема расходов (</w:t>
      </w:r>
      <w:r w:rsidR="003342F0" w:rsidRPr="004E1820">
        <w:rPr>
          <w:szCs w:val="28"/>
        </w:rPr>
        <w:t>75,8</w:t>
      </w:r>
      <w:r w:rsidR="00CF521F" w:rsidRPr="004E1820">
        <w:rPr>
          <w:szCs w:val="28"/>
        </w:rPr>
        <w:t> </w:t>
      </w:r>
      <w:r w:rsidRPr="004E1820">
        <w:rPr>
          <w:szCs w:val="28"/>
        </w:rPr>
        <w:t xml:space="preserve">%) приходится на 6 программ: </w:t>
      </w:r>
      <w:r w:rsidR="00925454">
        <w:rPr>
          <w:szCs w:val="28"/>
        </w:rPr>
        <w:t>«</w:t>
      </w:r>
      <w:r w:rsidR="009C5F64" w:rsidRPr="004E1820">
        <w:rPr>
          <w:szCs w:val="28"/>
        </w:rPr>
        <w:t>З</w:t>
      </w:r>
      <w:r w:rsidRPr="004E1820">
        <w:rPr>
          <w:szCs w:val="28"/>
        </w:rPr>
        <w:t>дравоохранени</w:t>
      </w:r>
      <w:r w:rsidR="009C5F64" w:rsidRPr="004E1820">
        <w:rPr>
          <w:szCs w:val="28"/>
        </w:rPr>
        <w:t>е</w:t>
      </w:r>
      <w:r w:rsidR="00925454">
        <w:rPr>
          <w:szCs w:val="28"/>
        </w:rPr>
        <w:t>»</w:t>
      </w:r>
      <w:r w:rsidRPr="004E1820">
        <w:rPr>
          <w:szCs w:val="28"/>
        </w:rPr>
        <w:t xml:space="preserve">, </w:t>
      </w:r>
      <w:r w:rsidR="00925454">
        <w:rPr>
          <w:szCs w:val="28"/>
        </w:rPr>
        <w:t>«</w:t>
      </w:r>
      <w:r w:rsidR="009C5F64" w:rsidRPr="004E1820">
        <w:rPr>
          <w:szCs w:val="28"/>
        </w:rPr>
        <w:t>Образование и наука</w:t>
      </w:r>
      <w:r w:rsidR="00925454">
        <w:rPr>
          <w:szCs w:val="28"/>
        </w:rPr>
        <w:t>»</w:t>
      </w:r>
      <w:r w:rsidRPr="004E1820">
        <w:rPr>
          <w:szCs w:val="28"/>
        </w:rPr>
        <w:t xml:space="preserve">, </w:t>
      </w:r>
      <w:r w:rsidR="00925454">
        <w:rPr>
          <w:szCs w:val="28"/>
        </w:rPr>
        <w:t>«</w:t>
      </w:r>
      <w:r w:rsidRPr="004E1820">
        <w:rPr>
          <w:szCs w:val="28"/>
        </w:rPr>
        <w:t>Социальная поддержка</w:t>
      </w:r>
      <w:r w:rsidR="00925454">
        <w:rPr>
          <w:szCs w:val="28"/>
        </w:rPr>
        <w:t>»</w:t>
      </w:r>
      <w:r w:rsidRPr="004E1820">
        <w:rPr>
          <w:szCs w:val="28"/>
        </w:rPr>
        <w:t xml:space="preserve">, </w:t>
      </w:r>
      <w:r w:rsidR="00925454">
        <w:rPr>
          <w:szCs w:val="28"/>
        </w:rPr>
        <w:t>«</w:t>
      </w:r>
      <w:r w:rsidR="009C5F64" w:rsidRPr="004E1820">
        <w:rPr>
          <w:szCs w:val="28"/>
        </w:rPr>
        <w:t>Финансы</w:t>
      </w:r>
      <w:r w:rsidR="00925454">
        <w:rPr>
          <w:szCs w:val="28"/>
        </w:rPr>
        <w:t>»</w:t>
      </w:r>
      <w:r w:rsidRPr="004E1820">
        <w:rPr>
          <w:szCs w:val="28"/>
        </w:rPr>
        <w:t xml:space="preserve">, </w:t>
      </w:r>
      <w:r w:rsidR="00925454">
        <w:rPr>
          <w:szCs w:val="28"/>
        </w:rPr>
        <w:t>«</w:t>
      </w:r>
      <w:r w:rsidR="009C5F64" w:rsidRPr="004E1820">
        <w:rPr>
          <w:szCs w:val="28"/>
        </w:rPr>
        <w:t>Комфортное жилье и городская среда</w:t>
      </w:r>
      <w:r w:rsidR="00925454">
        <w:rPr>
          <w:szCs w:val="28"/>
        </w:rPr>
        <w:t>»</w:t>
      </w:r>
      <w:r w:rsidRPr="004E1820">
        <w:rPr>
          <w:szCs w:val="28"/>
        </w:rPr>
        <w:t xml:space="preserve">, </w:t>
      </w:r>
      <w:r w:rsidR="00925454">
        <w:rPr>
          <w:szCs w:val="28"/>
        </w:rPr>
        <w:t>«</w:t>
      </w:r>
      <w:r w:rsidR="00837A31">
        <w:rPr>
          <w:szCs w:val="28"/>
        </w:rPr>
        <w:t>Транспортная система</w:t>
      </w:r>
      <w:r w:rsidR="00925454">
        <w:rPr>
          <w:szCs w:val="28"/>
        </w:rPr>
        <w:t>»</w:t>
      </w:r>
      <w:r w:rsidRPr="004E1820">
        <w:rPr>
          <w:szCs w:val="28"/>
        </w:rPr>
        <w:t xml:space="preserve">. По </w:t>
      </w:r>
      <w:r w:rsidR="00F20785">
        <w:rPr>
          <w:szCs w:val="28"/>
        </w:rPr>
        <w:t>двум</w:t>
      </w:r>
      <w:r w:rsidR="009241B4" w:rsidRPr="004E1820">
        <w:rPr>
          <w:szCs w:val="28"/>
        </w:rPr>
        <w:t xml:space="preserve"> </w:t>
      </w:r>
      <w:r w:rsidRPr="004E1820">
        <w:rPr>
          <w:szCs w:val="28"/>
        </w:rPr>
        <w:t>из них</w:t>
      </w:r>
      <w:r w:rsidR="00F20785">
        <w:rPr>
          <w:szCs w:val="28"/>
        </w:rPr>
        <w:t xml:space="preserve"> (программы «</w:t>
      </w:r>
      <w:r w:rsidR="00F20785" w:rsidRPr="004E1820">
        <w:rPr>
          <w:szCs w:val="28"/>
        </w:rPr>
        <w:t>Социальная поддержка</w:t>
      </w:r>
      <w:r w:rsidR="00F20785">
        <w:rPr>
          <w:szCs w:val="28"/>
        </w:rPr>
        <w:t>» и «Финансы»)</w:t>
      </w:r>
      <w:r w:rsidRPr="004E1820">
        <w:rPr>
          <w:szCs w:val="28"/>
        </w:rPr>
        <w:t xml:space="preserve"> отмечается высокая степень освоения предусмотренных средств по всем источникам (не менее 95</w:t>
      </w:r>
      <w:r w:rsidR="00CF521F" w:rsidRPr="004E1820">
        <w:rPr>
          <w:szCs w:val="28"/>
        </w:rPr>
        <w:t> </w:t>
      </w:r>
      <w:r w:rsidRPr="004E1820">
        <w:rPr>
          <w:szCs w:val="28"/>
        </w:rPr>
        <w:t>%) (Рисунок 5).</w:t>
      </w:r>
    </w:p>
    <w:p w:rsidR="002C0B9B" w:rsidRPr="00E11944" w:rsidRDefault="002C0B9B" w:rsidP="002C0B9B">
      <w:pPr>
        <w:rPr>
          <w:szCs w:val="28"/>
        </w:rPr>
        <w:sectPr w:rsidR="002C0B9B" w:rsidRPr="00E11944" w:rsidSect="00BB4B16">
          <w:headerReference w:type="default" r:id="rId12"/>
          <w:pgSz w:w="11906" w:h="16838"/>
          <w:pgMar w:top="1134" w:right="850" w:bottom="1134" w:left="1418" w:header="708" w:footer="708" w:gutter="0"/>
          <w:cols w:space="708"/>
          <w:titlePg/>
          <w:docGrid w:linePitch="381"/>
        </w:sectPr>
      </w:pPr>
    </w:p>
    <w:p w:rsidR="002C0B9B" w:rsidRPr="00E11944" w:rsidRDefault="002C0B9B" w:rsidP="002C0B9B">
      <w:pPr>
        <w:rPr>
          <w:szCs w:val="28"/>
        </w:rPr>
      </w:pPr>
    </w:p>
    <w:p w:rsidR="002C0B9B" w:rsidRPr="00E11944" w:rsidRDefault="00AF5957" w:rsidP="002C0B9B">
      <w:pPr>
        <w:rPr>
          <w:szCs w:val="28"/>
        </w:rPr>
      </w:pPr>
      <w:r w:rsidRPr="00E11944">
        <w:rPr>
          <w:b/>
          <w:noProof/>
          <w:sz w:val="20"/>
          <w:szCs w:val="20"/>
        </w:rPr>
        <w:drawing>
          <wp:inline distT="0" distB="0" distL="0" distR="0" wp14:anchorId="1EB20A54" wp14:editId="2F430698">
            <wp:extent cx="9223985" cy="5793638"/>
            <wp:effectExtent l="0" t="0" r="0" b="0"/>
            <wp:docPr id="7"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C0B9B" w:rsidRPr="00E11944" w:rsidRDefault="002C0B9B" w:rsidP="002C0B9B"/>
    <w:p w:rsidR="002C0B9B" w:rsidRPr="00E11944" w:rsidRDefault="002C0B9B" w:rsidP="002C0B9B">
      <w:pPr>
        <w:ind w:firstLine="0"/>
        <w:jc w:val="center"/>
        <w:rPr>
          <w:sz w:val="24"/>
          <w:szCs w:val="28"/>
        </w:rPr>
      </w:pPr>
      <w:r w:rsidRPr="00E11944">
        <w:rPr>
          <w:sz w:val="24"/>
          <w:szCs w:val="28"/>
        </w:rPr>
        <w:t>Рисунок 5</w:t>
      </w:r>
    </w:p>
    <w:p w:rsidR="002C0B9B" w:rsidRPr="00E11944" w:rsidRDefault="002C0B9B" w:rsidP="002C0B9B">
      <w:pPr>
        <w:ind w:firstLine="0"/>
        <w:jc w:val="center"/>
        <w:rPr>
          <w:sz w:val="24"/>
          <w:szCs w:val="28"/>
        </w:rPr>
      </w:pPr>
    </w:p>
    <w:p w:rsidR="002C0B9B" w:rsidRDefault="002C0B9B" w:rsidP="002C0B9B">
      <w:pPr>
        <w:rPr>
          <w:szCs w:val="28"/>
        </w:rPr>
      </w:pPr>
    </w:p>
    <w:p w:rsidR="002C0B9B" w:rsidRPr="00E11944" w:rsidRDefault="002C0B9B" w:rsidP="002C0B9B">
      <w:pPr>
        <w:rPr>
          <w:szCs w:val="28"/>
        </w:rPr>
      </w:pPr>
      <w:r w:rsidRPr="00737B1F">
        <w:rPr>
          <w:szCs w:val="28"/>
        </w:rPr>
        <w:t xml:space="preserve">На реализацию оставшихся </w:t>
      </w:r>
      <w:r w:rsidR="002A1AF3">
        <w:rPr>
          <w:szCs w:val="28"/>
        </w:rPr>
        <w:t>9 программ</w:t>
      </w:r>
      <w:r w:rsidRPr="00737B1F">
        <w:rPr>
          <w:szCs w:val="28"/>
        </w:rPr>
        <w:t xml:space="preserve"> в 202</w:t>
      </w:r>
      <w:r w:rsidR="002A1AF3">
        <w:rPr>
          <w:szCs w:val="28"/>
        </w:rPr>
        <w:t>3</w:t>
      </w:r>
      <w:r w:rsidRPr="00737B1F">
        <w:rPr>
          <w:szCs w:val="28"/>
        </w:rPr>
        <w:t xml:space="preserve"> году израсходовано </w:t>
      </w:r>
      <w:r w:rsidR="002A1AF3">
        <w:rPr>
          <w:szCs w:val="28"/>
        </w:rPr>
        <w:t>16,5</w:t>
      </w:r>
      <w:r w:rsidRPr="00737B1F">
        <w:rPr>
          <w:szCs w:val="28"/>
        </w:rPr>
        <w:t xml:space="preserve"> млрд рублей, при этом средняя степень освоения средств по указанным программам составила </w:t>
      </w:r>
      <w:r w:rsidR="001B311B" w:rsidRPr="00737B1F">
        <w:rPr>
          <w:szCs w:val="28"/>
        </w:rPr>
        <w:t>8</w:t>
      </w:r>
      <w:r w:rsidR="002A1AF3">
        <w:rPr>
          <w:szCs w:val="28"/>
        </w:rPr>
        <w:t>7,9</w:t>
      </w:r>
      <w:r w:rsidR="00E429D4" w:rsidRPr="00737B1F">
        <w:rPr>
          <w:szCs w:val="28"/>
        </w:rPr>
        <w:t> </w:t>
      </w:r>
      <w:r w:rsidRPr="00737B1F">
        <w:rPr>
          <w:szCs w:val="28"/>
        </w:rPr>
        <w:t>% (Рисунок 6).</w:t>
      </w:r>
    </w:p>
    <w:p w:rsidR="002C0B9B" w:rsidRDefault="00837A31" w:rsidP="002C0B9B">
      <w:pPr>
        <w:ind w:firstLine="0"/>
        <w:jc w:val="center"/>
        <w:rPr>
          <w:sz w:val="24"/>
          <w:szCs w:val="28"/>
        </w:rPr>
      </w:pPr>
      <w:r w:rsidRPr="00E11944">
        <w:rPr>
          <w:noProof/>
        </w:rPr>
        <w:drawing>
          <wp:inline distT="0" distB="0" distL="0" distR="0" wp14:anchorId="63CCAC9F" wp14:editId="3E074B9E">
            <wp:extent cx="9648825" cy="5019675"/>
            <wp:effectExtent l="0" t="0" r="0"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2C0B9B" w:rsidRPr="00E11944">
        <w:rPr>
          <w:sz w:val="24"/>
          <w:szCs w:val="28"/>
        </w:rPr>
        <w:t>Рисунок 6</w:t>
      </w:r>
    </w:p>
    <w:p w:rsidR="004D4CE1" w:rsidRDefault="004D4CE1" w:rsidP="002C0B9B">
      <w:pPr>
        <w:ind w:firstLine="0"/>
        <w:jc w:val="center"/>
        <w:rPr>
          <w:sz w:val="24"/>
          <w:szCs w:val="28"/>
        </w:rPr>
      </w:pPr>
    </w:p>
    <w:p w:rsidR="004D4CE1" w:rsidRDefault="004D4CE1" w:rsidP="004D4CE1">
      <w:pPr>
        <w:rPr>
          <w:sz w:val="20"/>
          <w:szCs w:val="20"/>
        </w:rPr>
      </w:pPr>
      <w:r w:rsidRPr="00E11944">
        <w:rPr>
          <w:sz w:val="20"/>
          <w:szCs w:val="20"/>
        </w:rPr>
        <w:t>*Превышение плановых объемов за счет средств ВБС (средства Фонда социального страхования)</w:t>
      </w:r>
    </w:p>
    <w:p w:rsidR="004D4CE1" w:rsidRPr="00E11944" w:rsidRDefault="004D4CE1" w:rsidP="004D4CE1">
      <w:pPr>
        <w:rPr>
          <w:szCs w:val="28"/>
        </w:rPr>
      </w:pPr>
      <w:r>
        <w:rPr>
          <w:sz w:val="20"/>
          <w:szCs w:val="20"/>
        </w:rPr>
        <w:t>**Превышение плановых объемов за счет средств ВБС (в связи с увеличением объема выпуска</w:t>
      </w:r>
      <w:r w:rsidRPr="004D4CE1">
        <w:rPr>
          <w:sz w:val="20"/>
          <w:szCs w:val="20"/>
        </w:rPr>
        <w:t xml:space="preserve"> ценных видов водных биоресурсов</w:t>
      </w:r>
      <w:r>
        <w:rPr>
          <w:sz w:val="20"/>
          <w:szCs w:val="20"/>
        </w:rPr>
        <w:t xml:space="preserve"> в рамках </w:t>
      </w:r>
      <w:r w:rsidRPr="004D4CE1">
        <w:rPr>
          <w:sz w:val="20"/>
          <w:szCs w:val="20"/>
        </w:rPr>
        <w:t>компенсационных мероприятий</w:t>
      </w:r>
      <w:r>
        <w:rPr>
          <w:sz w:val="20"/>
          <w:szCs w:val="20"/>
        </w:rPr>
        <w:t>)</w:t>
      </w:r>
    </w:p>
    <w:p w:rsidR="002C0B9B" w:rsidRPr="00E11944" w:rsidRDefault="002C0B9B" w:rsidP="002C0B9B">
      <w:pPr>
        <w:rPr>
          <w:sz w:val="20"/>
          <w:szCs w:val="20"/>
        </w:rPr>
        <w:sectPr w:rsidR="002C0B9B" w:rsidRPr="00E11944" w:rsidSect="00BB4B16">
          <w:pgSz w:w="16838" w:h="11906" w:orient="landscape"/>
          <w:pgMar w:top="851" w:right="678" w:bottom="567" w:left="851" w:header="709" w:footer="709" w:gutter="0"/>
          <w:cols w:space="708"/>
          <w:docGrid w:linePitch="360"/>
        </w:sectPr>
      </w:pPr>
    </w:p>
    <w:p w:rsidR="002C0B9B" w:rsidRPr="00E11944" w:rsidRDefault="002C0B9B" w:rsidP="002C0B9B">
      <w:pPr>
        <w:autoSpaceDE w:val="0"/>
        <w:autoSpaceDN w:val="0"/>
        <w:adjustRightInd w:val="0"/>
        <w:rPr>
          <w:b/>
        </w:rPr>
      </w:pPr>
      <w:r w:rsidRPr="00E11944">
        <w:rPr>
          <w:b/>
        </w:rPr>
        <w:lastRenderedPageBreak/>
        <w:t>4. Оценка эффективности</w:t>
      </w:r>
    </w:p>
    <w:p w:rsidR="002C0B9B" w:rsidRPr="004E1820" w:rsidRDefault="002C0B9B" w:rsidP="002C0B9B">
      <w:pPr>
        <w:autoSpaceDE w:val="0"/>
        <w:autoSpaceDN w:val="0"/>
        <w:adjustRightInd w:val="0"/>
        <w:rPr>
          <w:bCs/>
          <w:szCs w:val="28"/>
        </w:rPr>
      </w:pPr>
      <w:r w:rsidRPr="004E1820">
        <w:t xml:space="preserve">Оценка эффективности государственных программ проводилась ответственными исполнителями на основе </w:t>
      </w:r>
      <w:r w:rsidRPr="004E1820">
        <w:rPr>
          <w:szCs w:val="28"/>
        </w:rPr>
        <w:t>методики, установленной в Порядке</w:t>
      </w:r>
      <w:r w:rsidRPr="004E1820">
        <w:t xml:space="preserve">, </w:t>
      </w:r>
      <w:r w:rsidRPr="004E1820">
        <w:rPr>
          <w:bCs/>
          <w:szCs w:val="28"/>
        </w:rPr>
        <w:t>исходя из значения интегрального показателя эффективности, рассчитываемого на основе трех критериев:</w:t>
      </w:r>
    </w:p>
    <w:p w:rsidR="002C0B9B" w:rsidRPr="004E1820" w:rsidRDefault="002C0B9B" w:rsidP="002C0B9B">
      <w:pPr>
        <w:autoSpaceDE w:val="0"/>
        <w:autoSpaceDN w:val="0"/>
        <w:adjustRightInd w:val="0"/>
        <w:rPr>
          <w:bCs/>
          <w:szCs w:val="28"/>
        </w:rPr>
      </w:pPr>
      <w:r w:rsidRPr="004E1820">
        <w:rPr>
          <w:bCs/>
          <w:szCs w:val="28"/>
        </w:rPr>
        <w:t>К1 – степень достижения целей и решения задач государственной программы (степень достижения значений показателей);</w:t>
      </w:r>
    </w:p>
    <w:p w:rsidR="002C0B9B" w:rsidRPr="004E1820" w:rsidRDefault="002C0B9B" w:rsidP="002C0B9B">
      <w:pPr>
        <w:autoSpaceDE w:val="0"/>
        <w:autoSpaceDN w:val="0"/>
        <w:adjustRightInd w:val="0"/>
        <w:rPr>
          <w:bCs/>
          <w:szCs w:val="28"/>
        </w:rPr>
      </w:pPr>
      <w:r w:rsidRPr="004E1820">
        <w:rPr>
          <w:bCs/>
          <w:szCs w:val="28"/>
        </w:rPr>
        <w:t>К2 – динамика значений показателей по сравнению с предшествующим (20</w:t>
      </w:r>
      <w:r w:rsidR="005C36AA" w:rsidRPr="004E1820">
        <w:rPr>
          <w:bCs/>
          <w:szCs w:val="28"/>
        </w:rPr>
        <w:t>21</w:t>
      </w:r>
      <w:r w:rsidRPr="004E1820">
        <w:rPr>
          <w:bCs/>
          <w:szCs w:val="28"/>
        </w:rPr>
        <w:t>) годом;</w:t>
      </w:r>
    </w:p>
    <w:p w:rsidR="002C0B9B" w:rsidRPr="004E1820" w:rsidRDefault="002C0B9B" w:rsidP="002C0B9B">
      <w:pPr>
        <w:autoSpaceDE w:val="0"/>
        <w:autoSpaceDN w:val="0"/>
        <w:adjustRightInd w:val="0"/>
        <w:rPr>
          <w:bCs/>
          <w:szCs w:val="28"/>
        </w:rPr>
      </w:pPr>
      <w:r w:rsidRPr="004E1820">
        <w:rPr>
          <w:szCs w:val="28"/>
        </w:rPr>
        <w:t>К3 –</w:t>
      </w:r>
      <w:r w:rsidRPr="004E1820">
        <w:rPr>
          <w:bCs/>
          <w:szCs w:val="28"/>
        </w:rPr>
        <w:t xml:space="preserve"> степень выполнения мероприятий государственной программы.</w:t>
      </w:r>
    </w:p>
    <w:p w:rsidR="002C0B9B" w:rsidRPr="004E1820" w:rsidRDefault="002C0B9B" w:rsidP="002C0B9B">
      <w:pPr>
        <w:autoSpaceDE w:val="0"/>
        <w:autoSpaceDN w:val="0"/>
        <w:adjustRightInd w:val="0"/>
        <w:rPr>
          <w:bCs/>
          <w:szCs w:val="28"/>
        </w:rPr>
      </w:pPr>
      <w:r w:rsidRPr="004E1820">
        <w:rPr>
          <w:bCs/>
          <w:szCs w:val="28"/>
        </w:rPr>
        <w:t>Интегральный показатель эффективности реализации государственной программы (ЭГП) рассчитывался по формуле:</w:t>
      </w:r>
    </w:p>
    <w:p w:rsidR="002C0B9B" w:rsidRPr="004E1820" w:rsidRDefault="002C0B9B" w:rsidP="002C0B9B">
      <w:pPr>
        <w:autoSpaceDE w:val="0"/>
        <w:autoSpaceDN w:val="0"/>
        <w:adjustRightInd w:val="0"/>
        <w:rPr>
          <w:bCs/>
          <w:szCs w:val="28"/>
        </w:rPr>
      </w:pPr>
      <w:r w:rsidRPr="004E1820">
        <w:rPr>
          <w:bCs/>
          <w:szCs w:val="28"/>
        </w:rPr>
        <w:t>ЭГП = К1*0,3+(К2-3%)*0,35+К3*0,35.</w:t>
      </w:r>
    </w:p>
    <w:p w:rsidR="002C0B9B" w:rsidRPr="004E1820" w:rsidRDefault="002C0B9B" w:rsidP="002C0B9B">
      <w:pPr>
        <w:autoSpaceDE w:val="0"/>
        <w:autoSpaceDN w:val="0"/>
        <w:adjustRightInd w:val="0"/>
        <w:rPr>
          <w:bCs/>
          <w:szCs w:val="28"/>
        </w:rPr>
      </w:pPr>
      <w:r w:rsidRPr="004E1820">
        <w:rPr>
          <w:bCs/>
          <w:szCs w:val="28"/>
        </w:rPr>
        <w:t>Государственная программа считается реализуемой:</w:t>
      </w:r>
    </w:p>
    <w:p w:rsidR="002C0B9B" w:rsidRPr="004E1820" w:rsidRDefault="002C0B9B" w:rsidP="002C0B9B">
      <w:pPr>
        <w:numPr>
          <w:ilvl w:val="0"/>
          <w:numId w:val="2"/>
        </w:numPr>
        <w:tabs>
          <w:tab w:val="left" w:pos="993"/>
        </w:tabs>
        <w:autoSpaceDE w:val="0"/>
        <w:autoSpaceDN w:val="0"/>
        <w:adjustRightInd w:val="0"/>
        <w:ind w:left="0" w:firstLine="709"/>
        <w:rPr>
          <w:bCs/>
          <w:szCs w:val="28"/>
        </w:rPr>
      </w:pPr>
      <w:r w:rsidRPr="004E1820">
        <w:rPr>
          <w:bCs/>
          <w:szCs w:val="28"/>
        </w:rPr>
        <w:t>с высоким уровнем эффективности, если значение ЭГП составляет не менее 97</w:t>
      </w:r>
      <w:r w:rsidR="00BB4B16" w:rsidRPr="004E1820">
        <w:rPr>
          <w:bCs/>
          <w:szCs w:val="28"/>
        </w:rPr>
        <w:t> </w:t>
      </w:r>
      <w:r w:rsidRPr="004E1820">
        <w:rPr>
          <w:bCs/>
          <w:szCs w:val="28"/>
        </w:rPr>
        <w:t>%;</w:t>
      </w:r>
    </w:p>
    <w:p w:rsidR="002C0B9B" w:rsidRPr="004E1820" w:rsidRDefault="002C0B9B" w:rsidP="002C0B9B">
      <w:pPr>
        <w:numPr>
          <w:ilvl w:val="0"/>
          <w:numId w:val="2"/>
        </w:numPr>
        <w:tabs>
          <w:tab w:val="left" w:pos="993"/>
        </w:tabs>
        <w:autoSpaceDE w:val="0"/>
        <w:autoSpaceDN w:val="0"/>
        <w:adjustRightInd w:val="0"/>
        <w:ind w:left="0" w:firstLine="709"/>
        <w:rPr>
          <w:bCs/>
          <w:szCs w:val="28"/>
        </w:rPr>
      </w:pPr>
      <w:r w:rsidRPr="004E1820">
        <w:rPr>
          <w:bCs/>
          <w:szCs w:val="28"/>
        </w:rPr>
        <w:t>со средним уровнем эффективности, если значение ЭГП составляет не менее 92</w:t>
      </w:r>
      <w:r w:rsidR="00BB4B16" w:rsidRPr="004E1820">
        <w:rPr>
          <w:bCs/>
          <w:szCs w:val="28"/>
        </w:rPr>
        <w:t> </w:t>
      </w:r>
      <w:r w:rsidRPr="004E1820">
        <w:rPr>
          <w:bCs/>
          <w:szCs w:val="28"/>
        </w:rPr>
        <w:t>%;</w:t>
      </w:r>
    </w:p>
    <w:p w:rsidR="002C0B9B" w:rsidRPr="004E1820" w:rsidRDefault="002C0B9B" w:rsidP="002C0B9B">
      <w:pPr>
        <w:numPr>
          <w:ilvl w:val="0"/>
          <w:numId w:val="2"/>
        </w:numPr>
        <w:tabs>
          <w:tab w:val="left" w:pos="993"/>
        </w:tabs>
        <w:autoSpaceDE w:val="0"/>
        <w:autoSpaceDN w:val="0"/>
        <w:adjustRightInd w:val="0"/>
        <w:ind w:left="0" w:firstLine="709"/>
        <w:rPr>
          <w:bCs/>
          <w:szCs w:val="28"/>
        </w:rPr>
      </w:pPr>
      <w:r w:rsidRPr="004E1820">
        <w:rPr>
          <w:bCs/>
          <w:szCs w:val="28"/>
        </w:rPr>
        <w:t>с уровнем эффективности ниже среднего, если значение ЭГП составляет не менее 85</w:t>
      </w:r>
      <w:r w:rsidR="00BB4B16" w:rsidRPr="004E1820">
        <w:rPr>
          <w:bCs/>
          <w:szCs w:val="28"/>
        </w:rPr>
        <w:t> </w:t>
      </w:r>
      <w:r w:rsidRPr="004E1820">
        <w:rPr>
          <w:bCs/>
          <w:szCs w:val="28"/>
        </w:rPr>
        <w:t>%;</w:t>
      </w:r>
    </w:p>
    <w:p w:rsidR="002C0B9B" w:rsidRPr="004E1820" w:rsidRDefault="002C0B9B" w:rsidP="002C0B9B">
      <w:pPr>
        <w:numPr>
          <w:ilvl w:val="0"/>
          <w:numId w:val="2"/>
        </w:numPr>
        <w:tabs>
          <w:tab w:val="left" w:pos="993"/>
        </w:tabs>
        <w:autoSpaceDE w:val="0"/>
        <w:autoSpaceDN w:val="0"/>
        <w:adjustRightInd w:val="0"/>
        <w:ind w:left="0" w:firstLine="709"/>
        <w:rPr>
          <w:bCs/>
          <w:szCs w:val="28"/>
        </w:rPr>
      </w:pPr>
      <w:r w:rsidRPr="004E1820">
        <w:rPr>
          <w:bCs/>
          <w:szCs w:val="28"/>
        </w:rPr>
        <w:t>с низким уровнем эффективности, если значение ЭГП ниже 85</w:t>
      </w:r>
      <w:r w:rsidR="00BB4B16" w:rsidRPr="004E1820">
        <w:rPr>
          <w:bCs/>
          <w:szCs w:val="28"/>
        </w:rPr>
        <w:t> </w:t>
      </w:r>
      <w:r w:rsidRPr="004E1820">
        <w:rPr>
          <w:bCs/>
          <w:szCs w:val="28"/>
        </w:rPr>
        <w:t>%.</w:t>
      </w:r>
    </w:p>
    <w:p w:rsidR="002C0B9B" w:rsidRPr="004E1820" w:rsidRDefault="002C0B9B" w:rsidP="002C0B9B">
      <w:pPr>
        <w:autoSpaceDE w:val="0"/>
        <w:autoSpaceDN w:val="0"/>
        <w:adjustRightInd w:val="0"/>
        <w:rPr>
          <w:szCs w:val="28"/>
        </w:rPr>
      </w:pPr>
      <w:r w:rsidRPr="004E1820">
        <w:rPr>
          <w:szCs w:val="28"/>
        </w:rPr>
        <w:t>Результаты оценки эффективности реализации государственных программ в 202</w:t>
      </w:r>
      <w:r w:rsidR="00FA5978">
        <w:rPr>
          <w:szCs w:val="28"/>
        </w:rPr>
        <w:t>3</w:t>
      </w:r>
      <w:r w:rsidRPr="004E1820">
        <w:rPr>
          <w:szCs w:val="28"/>
        </w:rPr>
        <w:t xml:space="preserve"> году представлены в приложении №</w:t>
      </w:r>
      <w:r w:rsidR="00BB4B16" w:rsidRPr="004E1820">
        <w:rPr>
          <w:szCs w:val="28"/>
        </w:rPr>
        <w:t> </w:t>
      </w:r>
      <w:r w:rsidRPr="004E1820">
        <w:rPr>
          <w:szCs w:val="28"/>
        </w:rPr>
        <w:t>4.</w:t>
      </w:r>
    </w:p>
    <w:p w:rsidR="002C0B9B" w:rsidRPr="004E1820" w:rsidRDefault="002C0B9B" w:rsidP="005C36AA">
      <w:pPr>
        <w:autoSpaceDE w:val="0"/>
        <w:autoSpaceDN w:val="0"/>
        <w:adjustRightInd w:val="0"/>
        <w:spacing w:before="120" w:after="120"/>
        <w:rPr>
          <w:szCs w:val="28"/>
        </w:rPr>
      </w:pPr>
      <w:r w:rsidRPr="004E1820">
        <w:rPr>
          <w:szCs w:val="28"/>
        </w:rPr>
        <w:t>Из 1</w:t>
      </w:r>
      <w:r w:rsidR="00FA5978">
        <w:rPr>
          <w:szCs w:val="28"/>
        </w:rPr>
        <w:t>5</w:t>
      </w:r>
      <w:r w:rsidRPr="004E1820">
        <w:rPr>
          <w:szCs w:val="28"/>
        </w:rPr>
        <w:t xml:space="preserve"> государственных программ Мурманской области высокую оценку получили </w:t>
      </w:r>
      <w:r w:rsidR="00CE25FA" w:rsidRPr="004E1820">
        <w:rPr>
          <w:szCs w:val="28"/>
        </w:rPr>
        <w:t>2</w:t>
      </w:r>
      <w:r w:rsidRPr="004E1820">
        <w:rPr>
          <w:szCs w:val="28"/>
        </w:rPr>
        <w:t xml:space="preserve"> (Таблица 2):</w:t>
      </w:r>
    </w:p>
    <w:p w:rsidR="000116D9" w:rsidRDefault="00FA5978" w:rsidP="000116D9">
      <w:pPr>
        <w:pStyle w:val="a5"/>
        <w:numPr>
          <w:ilvl w:val="0"/>
          <w:numId w:val="9"/>
        </w:numPr>
        <w:tabs>
          <w:tab w:val="left" w:pos="993"/>
        </w:tabs>
        <w:autoSpaceDE w:val="0"/>
        <w:autoSpaceDN w:val="0"/>
        <w:adjustRightInd w:val="0"/>
        <w:ind w:left="0" w:firstLine="709"/>
        <w:rPr>
          <w:szCs w:val="28"/>
        </w:rPr>
      </w:pPr>
      <w:r w:rsidRPr="000116D9">
        <w:rPr>
          <w:szCs w:val="28"/>
        </w:rPr>
        <w:t>«Финансы» (ЭГП – 101,28 %);</w:t>
      </w:r>
    </w:p>
    <w:p w:rsidR="00FA5978" w:rsidRPr="000116D9" w:rsidRDefault="00FA5978" w:rsidP="000116D9">
      <w:pPr>
        <w:pStyle w:val="a5"/>
        <w:numPr>
          <w:ilvl w:val="0"/>
          <w:numId w:val="9"/>
        </w:numPr>
        <w:tabs>
          <w:tab w:val="left" w:pos="993"/>
        </w:tabs>
        <w:autoSpaceDE w:val="0"/>
        <w:autoSpaceDN w:val="0"/>
        <w:adjustRightInd w:val="0"/>
        <w:ind w:left="0" w:firstLine="709"/>
        <w:rPr>
          <w:szCs w:val="28"/>
        </w:rPr>
      </w:pPr>
      <w:r w:rsidRPr="000116D9">
        <w:rPr>
          <w:szCs w:val="28"/>
        </w:rPr>
        <w:t>«Образование и наука» (ЭГП – 97,2 %).</w:t>
      </w:r>
    </w:p>
    <w:p w:rsidR="00FA5978" w:rsidRPr="00FA5978" w:rsidRDefault="00FA5978" w:rsidP="00FA5978">
      <w:pPr>
        <w:tabs>
          <w:tab w:val="left" w:pos="993"/>
        </w:tabs>
        <w:autoSpaceDE w:val="0"/>
        <w:autoSpaceDN w:val="0"/>
        <w:adjustRightInd w:val="0"/>
        <w:spacing w:before="120" w:after="120"/>
        <w:ind w:left="709" w:firstLine="0"/>
        <w:rPr>
          <w:szCs w:val="28"/>
        </w:rPr>
      </w:pPr>
      <w:r w:rsidRPr="00FA5978">
        <w:rPr>
          <w:szCs w:val="28"/>
        </w:rPr>
        <w:t>Средняя эффективность отмечается у 10 программ:</w:t>
      </w:r>
    </w:p>
    <w:p w:rsidR="00FA5978" w:rsidRPr="000116D9" w:rsidRDefault="00FA5978" w:rsidP="000116D9">
      <w:pPr>
        <w:pStyle w:val="a5"/>
        <w:numPr>
          <w:ilvl w:val="0"/>
          <w:numId w:val="9"/>
        </w:numPr>
        <w:tabs>
          <w:tab w:val="left" w:pos="993"/>
        </w:tabs>
        <w:autoSpaceDE w:val="0"/>
        <w:autoSpaceDN w:val="0"/>
        <w:adjustRightInd w:val="0"/>
        <w:ind w:left="0" w:firstLine="709"/>
        <w:rPr>
          <w:szCs w:val="28"/>
        </w:rPr>
      </w:pPr>
      <w:r w:rsidRPr="000116D9">
        <w:rPr>
          <w:szCs w:val="28"/>
        </w:rPr>
        <w:t>«Экономический потенциал» (ЭГП – 96,3 %);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«Физическая культура и спорт» (ЭГП – 95,7 %);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«Общественная безопасность» (ЭГП – 95,4 %);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«Гос</w:t>
      </w:r>
      <w:r>
        <w:rPr>
          <w:szCs w:val="28"/>
        </w:rPr>
        <w:t>.</w:t>
      </w:r>
      <w:r w:rsidRPr="00FA5978">
        <w:rPr>
          <w:szCs w:val="28"/>
        </w:rPr>
        <w:t xml:space="preserve"> управление и гражданское общество» (ЭГП – 95,2 %);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«Социальная поддержка» (ЭГП – 95,0 %)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«Здравоохранение» (ЭГП – 94,9 %)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«Культура» (ЭГП – 94,9 %);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«Занятость и труд» (ЭГП – 93,6 %);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«Транспортная система» (ЭГП – 93,5 %);</w:t>
      </w:r>
    </w:p>
    <w:p w:rsidR="00FA5978" w:rsidRPr="00FA5978" w:rsidRDefault="00FA5978" w:rsidP="00FA5978">
      <w:pPr>
        <w:numPr>
          <w:ilvl w:val="0"/>
          <w:numId w:val="4"/>
        </w:numPr>
        <w:tabs>
          <w:tab w:val="left" w:pos="993"/>
        </w:tabs>
        <w:autoSpaceDE w:val="0"/>
        <w:autoSpaceDN w:val="0"/>
        <w:adjustRightInd w:val="0"/>
        <w:ind w:left="0" w:firstLine="709"/>
        <w:rPr>
          <w:szCs w:val="28"/>
        </w:rPr>
      </w:pPr>
      <w:r w:rsidRPr="00FA5978">
        <w:rPr>
          <w:szCs w:val="28"/>
        </w:rPr>
        <w:t>«Информационное общество» (ЭГП – 92,5 %).</w:t>
      </w:r>
    </w:p>
    <w:p w:rsidR="002C0B9B" w:rsidRPr="004E1820" w:rsidRDefault="002C0B9B" w:rsidP="002C0B9B">
      <w:pPr>
        <w:autoSpaceDE w:val="0"/>
        <w:autoSpaceDN w:val="0"/>
        <w:adjustRightInd w:val="0"/>
        <w:rPr>
          <w:szCs w:val="28"/>
        </w:rPr>
      </w:pPr>
      <w:r w:rsidRPr="004E1820">
        <w:rPr>
          <w:szCs w:val="28"/>
        </w:rPr>
        <w:t>Недостижение</w:t>
      </w:r>
      <w:r w:rsidR="00914B6B" w:rsidRPr="004E1820">
        <w:rPr>
          <w:szCs w:val="28"/>
        </w:rPr>
        <w:t xml:space="preserve"> </w:t>
      </w:r>
      <w:r w:rsidRPr="004E1820">
        <w:rPr>
          <w:szCs w:val="28"/>
        </w:rPr>
        <w:t>целевых значений показателей, а также невыполнение всех запланированных мероприятий в установленные сроки не позволило указанным программам достичь высокого уровня эффективности.</w:t>
      </w:r>
    </w:p>
    <w:p w:rsidR="002C0B9B" w:rsidRPr="00FA5978" w:rsidRDefault="00CE25FA" w:rsidP="00FA5978">
      <w:pPr>
        <w:autoSpaceDE w:val="0"/>
        <w:autoSpaceDN w:val="0"/>
        <w:adjustRightInd w:val="0"/>
        <w:rPr>
          <w:szCs w:val="28"/>
        </w:rPr>
      </w:pPr>
      <w:r w:rsidRPr="004E1820">
        <w:rPr>
          <w:szCs w:val="28"/>
        </w:rPr>
        <w:t>3</w:t>
      </w:r>
      <w:r w:rsidR="002C0B9B" w:rsidRPr="004E1820">
        <w:rPr>
          <w:szCs w:val="28"/>
        </w:rPr>
        <w:t xml:space="preserve"> программ</w:t>
      </w:r>
      <w:r w:rsidRPr="004E1820">
        <w:rPr>
          <w:szCs w:val="28"/>
        </w:rPr>
        <w:t>ы</w:t>
      </w:r>
      <w:r w:rsidR="002C0B9B" w:rsidRPr="004E1820">
        <w:rPr>
          <w:szCs w:val="28"/>
        </w:rPr>
        <w:t xml:space="preserve"> реализованы с уровнем эффективности ниже среднего.</w:t>
      </w:r>
    </w:p>
    <w:p w:rsidR="002C0B9B" w:rsidRDefault="002C0B9B" w:rsidP="002C0B9B">
      <w:pPr>
        <w:jc w:val="right"/>
        <w:rPr>
          <w:sz w:val="24"/>
        </w:rPr>
        <w:sectPr w:rsidR="002C0B9B" w:rsidSect="00BB4B16">
          <w:headerReference w:type="default" r:id="rId15"/>
          <w:pgSz w:w="11906" w:h="16838"/>
          <w:pgMar w:top="1134" w:right="851" w:bottom="1134" w:left="1418" w:header="709" w:footer="709" w:gutter="0"/>
          <w:cols w:space="708"/>
          <w:docGrid w:linePitch="360"/>
        </w:sectPr>
      </w:pPr>
    </w:p>
    <w:p w:rsidR="002C0B9B" w:rsidRDefault="002C0B9B" w:rsidP="002C0B9B">
      <w:pPr>
        <w:ind w:right="-598"/>
        <w:jc w:val="right"/>
        <w:rPr>
          <w:sz w:val="24"/>
        </w:rPr>
      </w:pPr>
      <w:r w:rsidRPr="00252F01">
        <w:rPr>
          <w:sz w:val="24"/>
        </w:rPr>
        <w:lastRenderedPageBreak/>
        <w:t>Таблица 2</w:t>
      </w:r>
    </w:p>
    <w:p w:rsidR="00EC4D91" w:rsidRDefault="00EC4D91" w:rsidP="00EC4D91">
      <w:pPr>
        <w:jc w:val="left"/>
        <w:rPr>
          <w:sz w:val="24"/>
        </w:rPr>
      </w:pPr>
    </w:p>
    <w:tbl>
      <w:tblPr>
        <w:tblW w:w="14879" w:type="dxa"/>
        <w:jc w:val="center"/>
        <w:tblLook w:val="04A0" w:firstRow="1" w:lastRow="0" w:firstColumn="1" w:lastColumn="0" w:noHBand="0" w:noVBand="1"/>
      </w:tblPr>
      <w:tblGrid>
        <w:gridCol w:w="486"/>
        <w:gridCol w:w="6642"/>
        <w:gridCol w:w="1316"/>
        <w:gridCol w:w="1742"/>
        <w:gridCol w:w="1744"/>
        <w:gridCol w:w="1593"/>
        <w:gridCol w:w="1356"/>
      </w:tblGrid>
      <w:tr w:rsidR="00FA5978" w:rsidRPr="002F2374" w:rsidTr="00067FE0">
        <w:trPr>
          <w:trHeight w:val="300"/>
          <w:jc w:val="center"/>
        </w:trPr>
        <w:tc>
          <w:tcPr>
            <w:tcW w:w="473" w:type="dxa"/>
            <w:tcBorders>
              <w:top w:val="single" w:sz="4" w:space="0" w:color="auto"/>
              <w:left w:val="single" w:sz="4" w:space="0" w:color="auto"/>
              <w:bottom w:val="single" w:sz="4" w:space="0" w:color="auto"/>
              <w:right w:val="single" w:sz="4" w:space="0" w:color="auto"/>
            </w:tcBorders>
            <w:shd w:val="clear" w:color="000000" w:fill="FFFFFF"/>
            <w:vAlign w:val="center"/>
          </w:tcPr>
          <w:p w:rsidR="00FA5978" w:rsidRPr="000E1CFF" w:rsidRDefault="00FA5978" w:rsidP="00067FE0">
            <w:pPr>
              <w:ind w:firstLine="0"/>
              <w:jc w:val="center"/>
              <w:rPr>
                <w:b/>
                <w:bCs/>
                <w:sz w:val="20"/>
                <w:szCs w:val="16"/>
              </w:rPr>
            </w:pPr>
            <w:r w:rsidRPr="000E1CFF">
              <w:rPr>
                <w:sz w:val="20"/>
                <w:szCs w:val="16"/>
              </w:rPr>
              <w:t>№ п/п</w:t>
            </w:r>
          </w:p>
        </w:tc>
        <w:tc>
          <w:tcPr>
            <w:tcW w:w="7128" w:type="dxa"/>
            <w:tcBorders>
              <w:top w:val="single" w:sz="4" w:space="0" w:color="auto"/>
              <w:left w:val="nil"/>
              <w:bottom w:val="single" w:sz="4" w:space="0" w:color="auto"/>
              <w:right w:val="single" w:sz="4" w:space="0" w:color="auto"/>
            </w:tcBorders>
            <w:shd w:val="clear" w:color="000000" w:fill="FFFFFF"/>
            <w:vAlign w:val="center"/>
          </w:tcPr>
          <w:p w:rsidR="00FA5978" w:rsidRPr="000E1CFF" w:rsidRDefault="00FA5978" w:rsidP="00B54514">
            <w:pPr>
              <w:ind w:firstLine="0"/>
              <w:jc w:val="center"/>
              <w:rPr>
                <w:b/>
                <w:bCs/>
                <w:sz w:val="20"/>
                <w:szCs w:val="16"/>
              </w:rPr>
            </w:pPr>
            <w:r w:rsidRPr="000E1CFF">
              <w:rPr>
                <w:sz w:val="20"/>
                <w:szCs w:val="16"/>
              </w:rPr>
              <w:t xml:space="preserve">Государственная </w:t>
            </w:r>
            <w:r w:rsidR="00B54514">
              <w:rPr>
                <w:sz w:val="20"/>
                <w:szCs w:val="16"/>
              </w:rPr>
              <w:t>программа</w:t>
            </w:r>
            <w:r w:rsidRPr="000E1CFF">
              <w:rPr>
                <w:sz w:val="20"/>
                <w:szCs w:val="16"/>
              </w:rPr>
              <w:t>, ответственный исполнитель</w:t>
            </w:r>
          </w:p>
        </w:tc>
        <w:tc>
          <w:tcPr>
            <w:tcW w:w="801" w:type="dxa"/>
            <w:tcBorders>
              <w:top w:val="single" w:sz="4" w:space="0" w:color="auto"/>
              <w:left w:val="nil"/>
              <w:bottom w:val="single" w:sz="4" w:space="0" w:color="auto"/>
              <w:right w:val="single" w:sz="4" w:space="0" w:color="auto"/>
            </w:tcBorders>
            <w:shd w:val="clear" w:color="auto" w:fill="auto"/>
            <w:vAlign w:val="center"/>
          </w:tcPr>
          <w:p w:rsidR="00FA5978" w:rsidRPr="000E1CFF" w:rsidRDefault="00FA5978" w:rsidP="00067FE0">
            <w:pPr>
              <w:ind w:firstLine="0"/>
              <w:jc w:val="center"/>
              <w:rPr>
                <w:b/>
                <w:bCs/>
                <w:sz w:val="20"/>
                <w:szCs w:val="16"/>
                <w:u w:val="single"/>
              </w:rPr>
            </w:pPr>
            <w:r w:rsidRPr="000E1CFF">
              <w:rPr>
                <w:sz w:val="20"/>
                <w:szCs w:val="16"/>
              </w:rPr>
              <w:t>К1 (степень достижения показателей)</w:t>
            </w:r>
          </w:p>
        </w:tc>
        <w:tc>
          <w:tcPr>
            <w:tcW w:w="1785" w:type="dxa"/>
            <w:tcBorders>
              <w:top w:val="single" w:sz="4" w:space="0" w:color="auto"/>
              <w:left w:val="nil"/>
              <w:bottom w:val="single" w:sz="4" w:space="0" w:color="auto"/>
              <w:right w:val="single" w:sz="4" w:space="0" w:color="auto"/>
            </w:tcBorders>
            <w:shd w:val="clear" w:color="auto" w:fill="auto"/>
            <w:vAlign w:val="center"/>
          </w:tcPr>
          <w:p w:rsidR="00FA5978" w:rsidRPr="000E1CFF" w:rsidRDefault="00FA5978" w:rsidP="00067FE0">
            <w:pPr>
              <w:ind w:firstLine="0"/>
              <w:jc w:val="center"/>
              <w:rPr>
                <w:b/>
                <w:bCs/>
                <w:sz w:val="20"/>
                <w:szCs w:val="16"/>
              </w:rPr>
            </w:pPr>
            <w:r w:rsidRPr="000E1CFF">
              <w:rPr>
                <w:sz w:val="20"/>
                <w:szCs w:val="16"/>
              </w:rPr>
              <w:t>К2 (динамика значений показателей)</w:t>
            </w:r>
          </w:p>
        </w:tc>
        <w:tc>
          <w:tcPr>
            <w:tcW w:w="1779" w:type="dxa"/>
            <w:tcBorders>
              <w:top w:val="single" w:sz="4" w:space="0" w:color="auto"/>
              <w:left w:val="nil"/>
              <w:bottom w:val="single" w:sz="4" w:space="0" w:color="auto"/>
              <w:right w:val="single" w:sz="4" w:space="0" w:color="auto"/>
            </w:tcBorders>
            <w:shd w:val="clear" w:color="auto" w:fill="auto"/>
            <w:vAlign w:val="center"/>
          </w:tcPr>
          <w:p w:rsidR="00FA5978" w:rsidRPr="000E1CFF" w:rsidRDefault="00FA5978" w:rsidP="00067FE0">
            <w:pPr>
              <w:ind w:firstLine="0"/>
              <w:jc w:val="center"/>
              <w:rPr>
                <w:b/>
                <w:bCs/>
                <w:sz w:val="20"/>
                <w:szCs w:val="16"/>
                <w:u w:val="single"/>
              </w:rPr>
            </w:pPr>
            <w:r w:rsidRPr="000E1CFF">
              <w:rPr>
                <w:sz w:val="20"/>
                <w:szCs w:val="16"/>
              </w:rPr>
              <w:t>К3 (степень выполнения мероприятий)</w:t>
            </w:r>
          </w:p>
        </w:tc>
        <w:tc>
          <w:tcPr>
            <w:tcW w:w="1523" w:type="dxa"/>
            <w:tcBorders>
              <w:top w:val="single" w:sz="4" w:space="0" w:color="auto"/>
              <w:left w:val="nil"/>
              <w:bottom w:val="single" w:sz="4" w:space="0" w:color="auto"/>
              <w:right w:val="single" w:sz="4" w:space="0" w:color="auto"/>
            </w:tcBorders>
            <w:shd w:val="clear" w:color="auto" w:fill="auto"/>
            <w:vAlign w:val="center"/>
          </w:tcPr>
          <w:p w:rsidR="00FA5978" w:rsidRPr="000E1CFF" w:rsidRDefault="00FA5978" w:rsidP="00067FE0">
            <w:pPr>
              <w:ind w:firstLine="0"/>
              <w:jc w:val="center"/>
              <w:rPr>
                <w:b/>
                <w:bCs/>
                <w:sz w:val="20"/>
                <w:szCs w:val="16"/>
                <w:u w:val="single"/>
              </w:rPr>
            </w:pPr>
            <w:r w:rsidRPr="000E1CFF">
              <w:rPr>
                <w:sz w:val="20"/>
                <w:szCs w:val="16"/>
              </w:rPr>
              <w:t>ЭГП (интегральный показатель эффективности)</w:t>
            </w:r>
          </w:p>
        </w:tc>
        <w:tc>
          <w:tcPr>
            <w:tcW w:w="1390" w:type="dxa"/>
            <w:tcBorders>
              <w:top w:val="single" w:sz="4" w:space="0" w:color="auto"/>
              <w:left w:val="nil"/>
              <w:bottom w:val="single" w:sz="4" w:space="0" w:color="auto"/>
              <w:right w:val="single" w:sz="4" w:space="0" w:color="auto"/>
            </w:tcBorders>
            <w:shd w:val="clear" w:color="000000" w:fill="auto"/>
            <w:vAlign w:val="center"/>
          </w:tcPr>
          <w:p w:rsidR="00FA5978" w:rsidRPr="000E1CFF" w:rsidRDefault="00FA5978" w:rsidP="00067FE0">
            <w:pPr>
              <w:ind w:firstLine="0"/>
              <w:jc w:val="center"/>
              <w:rPr>
                <w:sz w:val="20"/>
                <w:szCs w:val="16"/>
              </w:rPr>
            </w:pPr>
            <w:r w:rsidRPr="000E1CFF">
              <w:rPr>
                <w:sz w:val="20"/>
                <w:szCs w:val="16"/>
              </w:rPr>
              <w:t>Оценка</w:t>
            </w:r>
          </w:p>
        </w:tc>
      </w:tr>
      <w:tr w:rsidR="00FA5978" w:rsidRPr="002F2374" w:rsidTr="00FA5978">
        <w:trPr>
          <w:trHeight w:val="300"/>
          <w:jc w:val="center"/>
        </w:trPr>
        <w:tc>
          <w:tcPr>
            <w:tcW w:w="47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A5978" w:rsidRPr="00FA5978" w:rsidRDefault="00FA5978" w:rsidP="00067FE0">
            <w:pPr>
              <w:ind w:firstLine="0"/>
              <w:jc w:val="center"/>
              <w:rPr>
                <w:b/>
                <w:bCs/>
                <w:sz w:val="20"/>
                <w:szCs w:val="20"/>
              </w:rPr>
            </w:pPr>
            <w:r w:rsidRPr="00FA5978">
              <w:rPr>
                <w:b/>
                <w:bCs/>
                <w:sz w:val="20"/>
                <w:szCs w:val="20"/>
              </w:rPr>
              <w:t> </w:t>
            </w:r>
          </w:p>
        </w:tc>
        <w:tc>
          <w:tcPr>
            <w:tcW w:w="7128" w:type="dxa"/>
            <w:tcBorders>
              <w:top w:val="single" w:sz="4" w:space="0" w:color="auto"/>
              <w:left w:val="nil"/>
              <w:bottom w:val="single" w:sz="4" w:space="0" w:color="auto"/>
              <w:right w:val="single" w:sz="4" w:space="0" w:color="auto"/>
            </w:tcBorders>
            <w:shd w:val="clear" w:color="000000" w:fill="FFFFFF"/>
            <w:vAlign w:val="center"/>
            <w:hideMark/>
          </w:tcPr>
          <w:p w:rsidR="00FA5978" w:rsidRPr="00FA5978" w:rsidRDefault="00FA5978" w:rsidP="00067FE0">
            <w:pPr>
              <w:ind w:firstLine="0"/>
              <w:jc w:val="left"/>
              <w:rPr>
                <w:b/>
                <w:bCs/>
                <w:sz w:val="20"/>
                <w:szCs w:val="20"/>
              </w:rPr>
            </w:pPr>
            <w:r w:rsidRPr="00FA5978">
              <w:rPr>
                <w:b/>
                <w:bCs/>
                <w:sz w:val="20"/>
                <w:szCs w:val="20"/>
              </w:rPr>
              <w:t>Всего</w:t>
            </w:r>
          </w:p>
        </w:tc>
        <w:tc>
          <w:tcPr>
            <w:tcW w:w="801" w:type="dxa"/>
            <w:tcBorders>
              <w:top w:val="single" w:sz="4" w:space="0" w:color="auto"/>
              <w:left w:val="nil"/>
              <w:bottom w:val="single" w:sz="4" w:space="0" w:color="auto"/>
              <w:right w:val="single" w:sz="4" w:space="0" w:color="auto"/>
            </w:tcBorders>
            <w:shd w:val="clear" w:color="000000" w:fill="FFFF00"/>
            <w:vAlign w:val="center"/>
            <w:hideMark/>
          </w:tcPr>
          <w:p w:rsidR="00FA5978" w:rsidRPr="00FA5978" w:rsidRDefault="00FA5978" w:rsidP="006E147C">
            <w:pPr>
              <w:ind w:firstLine="0"/>
              <w:jc w:val="center"/>
              <w:rPr>
                <w:b/>
                <w:bCs/>
                <w:sz w:val="20"/>
                <w:szCs w:val="20"/>
              </w:rPr>
            </w:pPr>
            <w:r w:rsidRPr="00FA5978">
              <w:rPr>
                <w:b/>
                <w:bCs/>
                <w:sz w:val="20"/>
                <w:szCs w:val="20"/>
              </w:rPr>
              <w:t>94,</w:t>
            </w:r>
            <w:r w:rsidR="006E147C">
              <w:rPr>
                <w:b/>
                <w:bCs/>
                <w:sz w:val="20"/>
                <w:szCs w:val="20"/>
              </w:rPr>
              <w:t>1</w:t>
            </w:r>
            <w:r w:rsidRPr="00FA5978">
              <w:rPr>
                <w:b/>
                <w:bCs/>
                <w:sz w:val="20"/>
                <w:szCs w:val="20"/>
              </w:rPr>
              <w:t>%</w:t>
            </w:r>
          </w:p>
        </w:tc>
        <w:tc>
          <w:tcPr>
            <w:tcW w:w="1785" w:type="dxa"/>
            <w:tcBorders>
              <w:top w:val="single" w:sz="4" w:space="0" w:color="auto"/>
              <w:left w:val="nil"/>
              <w:bottom w:val="single" w:sz="4" w:space="0" w:color="auto"/>
              <w:right w:val="single" w:sz="4" w:space="0" w:color="auto"/>
            </w:tcBorders>
            <w:shd w:val="clear" w:color="auto" w:fill="99FF99"/>
            <w:vAlign w:val="center"/>
            <w:hideMark/>
          </w:tcPr>
          <w:p w:rsidR="00FA5978" w:rsidRPr="00FA5978" w:rsidRDefault="00FA5978" w:rsidP="006E147C">
            <w:pPr>
              <w:ind w:firstLine="0"/>
              <w:jc w:val="center"/>
              <w:rPr>
                <w:b/>
                <w:bCs/>
                <w:sz w:val="20"/>
                <w:szCs w:val="20"/>
              </w:rPr>
            </w:pPr>
            <w:r w:rsidRPr="00FA5978">
              <w:rPr>
                <w:b/>
                <w:bCs/>
                <w:sz w:val="20"/>
                <w:szCs w:val="20"/>
              </w:rPr>
              <w:t>1</w:t>
            </w:r>
            <w:r w:rsidR="006E147C">
              <w:rPr>
                <w:b/>
                <w:bCs/>
                <w:sz w:val="20"/>
                <w:szCs w:val="20"/>
              </w:rPr>
              <w:t>02</w:t>
            </w:r>
            <w:r w:rsidRPr="00FA5978">
              <w:rPr>
                <w:b/>
                <w:bCs/>
                <w:sz w:val="20"/>
                <w:szCs w:val="20"/>
              </w:rPr>
              <w:t>,</w:t>
            </w:r>
            <w:r w:rsidR="006E147C">
              <w:rPr>
                <w:b/>
                <w:bCs/>
                <w:sz w:val="20"/>
                <w:szCs w:val="20"/>
              </w:rPr>
              <w:t>4</w:t>
            </w:r>
            <w:r w:rsidRPr="00FA5978">
              <w:rPr>
                <w:b/>
                <w:bCs/>
                <w:sz w:val="20"/>
                <w:szCs w:val="20"/>
              </w:rPr>
              <w:t>%</w:t>
            </w:r>
          </w:p>
        </w:tc>
        <w:tc>
          <w:tcPr>
            <w:tcW w:w="1779" w:type="dxa"/>
            <w:tcBorders>
              <w:top w:val="single" w:sz="4" w:space="0" w:color="auto"/>
              <w:left w:val="nil"/>
              <w:bottom w:val="single" w:sz="4" w:space="0" w:color="auto"/>
              <w:right w:val="single" w:sz="4" w:space="0" w:color="auto"/>
            </w:tcBorders>
            <w:shd w:val="clear" w:color="auto" w:fill="FFC000"/>
            <w:vAlign w:val="center"/>
            <w:hideMark/>
          </w:tcPr>
          <w:p w:rsidR="00FA5978" w:rsidRPr="00FA5978" w:rsidRDefault="00FA5978" w:rsidP="00067FE0">
            <w:pPr>
              <w:ind w:firstLine="0"/>
              <w:jc w:val="center"/>
              <w:rPr>
                <w:b/>
                <w:bCs/>
                <w:sz w:val="20"/>
                <w:szCs w:val="20"/>
              </w:rPr>
            </w:pPr>
            <w:r w:rsidRPr="00FA5978">
              <w:rPr>
                <w:b/>
                <w:bCs/>
                <w:sz w:val="20"/>
                <w:szCs w:val="20"/>
              </w:rPr>
              <w:t>87,7%</w:t>
            </w:r>
          </w:p>
        </w:tc>
        <w:tc>
          <w:tcPr>
            <w:tcW w:w="1523" w:type="dxa"/>
            <w:tcBorders>
              <w:top w:val="single" w:sz="4" w:space="0" w:color="auto"/>
              <w:left w:val="nil"/>
              <w:bottom w:val="single" w:sz="4" w:space="0" w:color="auto"/>
              <w:right w:val="single" w:sz="4" w:space="0" w:color="auto"/>
            </w:tcBorders>
            <w:shd w:val="clear" w:color="000000" w:fill="FFFF00"/>
            <w:vAlign w:val="center"/>
            <w:hideMark/>
          </w:tcPr>
          <w:p w:rsidR="00FA5978" w:rsidRPr="00FA5978" w:rsidRDefault="00CE5BCC" w:rsidP="006E147C">
            <w:pPr>
              <w:ind w:firstLine="0"/>
              <w:jc w:val="center"/>
              <w:rPr>
                <w:b/>
                <w:bCs/>
                <w:sz w:val="20"/>
                <w:szCs w:val="20"/>
              </w:rPr>
            </w:pPr>
            <w:r>
              <w:rPr>
                <w:b/>
                <w:bCs/>
                <w:sz w:val="20"/>
                <w:szCs w:val="20"/>
              </w:rPr>
              <w:t>93,</w:t>
            </w:r>
            <w:r w:rsidR="006E147C">
              <w:rPr>
                <w:b/>
                <w:bCs/>
                <w:sz w:val="20"/>
                <w:szCs w:val="20"/>
              </w:rPr>
              <w:t>7</w:t>
            </w:r>
            <w:r w:rsidR="00FA5978" w:rsidRPr="00FA5978">
              <w:rPr>
                <w:b/>
                <w:bCs/>
                <w:sz w:val="20"/>
                <w:szCs w:val="20"/>
              </w:rPr>
              <w:t>%</w:t>
            </w:r>
          </w:p>
        </w:tc>
        <w:tc>
          <w:tcPr>
            <w:tcW w:w="1390" w:type="dxa"/>
            <w:tcBorders>
              <w:top w:val="single" w:sz="4" w:space="0" w:color="auto"/>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FA5978">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1</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Default="00FA5978" w:rsidP="00FA5978">
            <w:pPr>
              <w:ind w:firstLine="0"/>
              <w:jc w:val="left"/>
              <w:rPr>
                <w:sz w:val="20"/>
                <w:szCs w:val="20"/>
              </w:rPr>
            </w:pPr>
            <w:r w:rsidRPr="00FA5978">
              <w:rPr>
                <w:sz w:val="20"/>
                <w:szCs w:val="20"/>
              </w:rPr>
              <w:t>Государственна</w:t>
            </w:r>
            <w:r>
              <w:rPr>
                <w:sz w:val="20"/>
                <w:szCs w:val="20"/>
              </w:rPr>
              <w:t>я программа Мурманской области «</w:t>
            </w:r>
            <w:r w:rsidRPr="00FA5978">
              <w:rPr>
                <w:sz w:val="20"/>
                <w:szCs w:val="20"/>
              </w:rPr>
              <w:t>Финансы</w:t>
            </w:r>
            <w:r>
              <w:rPr>
                <w:sz w:val="20"/>
                <w:szCs w:val="20"/>
              </w:rPr>
              <w:t>»</w:t>
            </w:r>
          </w:p>
          <w:p w:rsidR="00FA5978" w:rsidRPr="00FA5978" w:rsidRDefault="00FA5978" w:rsidP="00FA5978">
            <w:pPr>
              <w:ind w:firstLine="0"/>
              <w:jc w:val="left"/>
              <w:rPr>
                <w:sz w:val="20"/>
                <w:szCs w:val="20"/>
              </w:rPr>
            </w:pPr>
            <w:r w:rsidRPr="00FA5978">
              <w:rPr>
                <w:sz w:val="20"/>
                <w:szCs w:val="20"/>
              </w:rPr>
              <w:t>(Минфин МО)</w:t>
            </w:r>
          </w:p>
        </w:tc>
        <w:tc>
          <w:tcPr>
            <w:tcW w:w="801"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100,0%</w:t>
            </w:r>
          </w:p>
        </w:tc>
        <w:tc>
          <w:tcPr>
            <w:tcW w:w="1785" w:type="dxa"/>
            <w:tcBorders>
              <w:top w:val="nil"/>
              <w:left w:val="nil"/>
              <w:bottom w:val="single" w:sz="4" w:space="0" w:color="auto"/>
              <w:right w:val="single" w:sz="4" w:space="0" w:color="auto"/>
            </w:tcBorders>
            <w:shd w:val="clear" w:color="auto" w:fill="99FF99"/>
            <w:vAlign w:val="center"/>
            <w:hideMark/>
          </w:tcPr>
          <w:p w:rsidR="00FA5978" w:rsidRPr="00FA5978" w:rsidRDefault="00FA5978" w:rsidP="00067FE0">
            <w:pPr>
              <w:ind w:firstLine="0"/>
              <w:jc w:val="center"/>
              <w:rPr>
                <w:b/>
                <w:bCs/>
                <w:sz w:val="20"/>
                <w:szCs w:val="20"/>
              </w:rPr>
            </w:pPr>
            <w:r w:rsidRPr="00FA5978">
              <w:rPr>
                <w:b/>
                <w:bCs/>
                <w:sz w:val="20"/>
                <w:szCs w:val="20"/>
              </w:rPr>
              <w:t>108,8%</w:t>
            </w:r>
          </w:p>
        </w:tc>
        <w:tc>
          <w:tcPr>
            <w:tcW w:w="1779"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97,8%</w:t>
            </w:r>
          </w:p>
        </w:tc>
        <w:tc>
          <w:tcPr>
            <w:tcW w:w="1523" w:type="dxa"/>
            <w:tcBorders>
              <w:top w:val="nil"/>
              <w:left w:val="nil"/>
              <w:bottom w:val="single" w:sz="4" w:space="0" w:color="auto"/>
              <w:right w:val="single" w:sz="4" w:space="0" w:color="auto"/>
            </w:tcBorders>
            <w:shd w:val="clear" w:color="000000" w:fill="99FF99"/>
            <w:vAlign w:val="center"/>
            <w:hideMark/>
          </w:tcPr>
          <w:p w:rsidR="00FA5978" w:rsidRPr="00FA5978" w:rsidRDefault="00CE5BCC" w:rsidP="00067FE0">
            <w:pPr>
              <w:ind w:firstLine="0"/>
              <w:jc w:val="center"/>
              <w:rPr>
                <w:b/>
                <w:bCs/>
                <w:sz w:val="20"/>
                <w:szCs w:val="20"/>
              </w:rPr>
            </w:pPr>
            <w:r>
              <w:rPr>
                <w:b/>
                <w:bCs/>
                <w:sz w:val="20"/>
                <w:szCs w:val="20"/>
              </w:rPr>
              <w:t>101,3</w:t>
            </w:r>
            <w:r w:rsidR="00FA5978" w:rsidRPr="00FA5978">
              <w:rPr>
                <w:b/>
                <w:bCs/>
                <w:sz w:val="20"/>
                <w:szCs w:val="20"/>
              </w:rPr>
              <w:t>%</w:t>
            </w:r>
          </w:p>
        </w:tc>
        <w:tc>
          <w:tcPr>
            <w:tcW w:w="1390"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Высокая</w:t>
            </w:r>
          </w:p>
        </w:tc>
      </w:tr>
      <w:tr w:rsidR="00FA5978" w:rsidRPr="002F2374" w:rsidTr="00067FE0">
        <w:trPr>
          <w:trHeight w:val="60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2</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Default="00FA5978" w:rsidP="00067FE0">
            <w:pPr>
              <w:ind w:firstLine="0"/>
              <w:jc w:val="left"/>
              <w:rPr>
                <w:sz w:val="20"/>
                <w:szCs w:val="20"/>
              </w:rPr>
            </w:pPr>
            <w:r w:rsidRPr="00FA5978">
              <w:rPr>
                <w:sz w:val="20"/>
                <w:szCs w:val="20"/>
              </w:rPr>
              <w:t xml:space="preserve">Государственная программа Мурманской области </w:t>
            </w:r>
            <w:r>
              <w:rPr>
                <w:sz w:val="20"/>
                <w:szCs w:val="20"/>
              </w:rPr>
              <w:t>«Образование и наука»</w:t>
            </w:r>
          </w:p>
          <w:p w:rsidR="00FA5978" w:rsidRPr="00FA5978" w:rsidRDefault="00FA5978" w:rsidP="00067FE0">
            <w:pPr>
              <w:ind w:firstLine="0"/>
              <w:jc w:val="left"/>
              <w:rPr>
                <w:sz w:val="20"/>
                <w:szCs w:val="20"/>
              </w:rPr>
            </w:pPr>
            <w:r w:rsidRPr="00FA5978">
              <w:rPr>
                <w:sz w:val="20"/>
                <w:szCs w:val="20"/>
              </w:rPr>
              <w:t>(Минобр МО)</w:t>
            </w:r>
          </w:p>
        </w:tc>
        <w:tc>
          <w:tcPr>
            <w:tcW w:w="801"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99,8%</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108,8%</w:t>
            </w:r>
          </w:p>
        </w:tc>
        <w:tc>
          <w:tcPr>
            <w:tcW w:w="1779"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86,5%</w:t>
            </w:r>
          </w:p>
        </w:tc>
        <w:tc>
          <w:tcPr>
            <w:tcW w:w="1523"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97,2%</w:t>
            </w:r>
          </w:p>
        </w:tc>
        <w:tc>
          <w:tcPr>
            <w:tcW w:w="1390"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Высокая</w:t>
            </w:r>
          </w:p>
        </w:tc>
      </w:tr>
      <w:tr w:rsidR="00FA5978" w:rsidRPr="002F2374" w:rsidTr="00067FE0">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3</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067FE0">
            <w:pPr>
              <w:ind w:firstLine="0"/>
              <w:jc w:val="left"/>
              <w:rPr>
                <w:sz w:val="20"/>
                <w:szCs w:val="20"/>
              </w:rPr>
            </w:pPr>
            <w:r w:rsidRPr="00FA5978">
              <w:rPr>
                <w:sz w:val="20"/>
                <w:szCs w:val="20"/>
              </w:rPr>
              <w:t xml:space="preserve">Государственная программа </w:t>
            </w:r>
            <w:r>
              <w:rPr>
                <w:sz w:val="20"/>
                <w:szCs w:val="20"/>
              </w:rPr>
              <w:t>Мурманской области «Экономический потенциал»</w:t>
            </w:r>
            <w:r w:rsidRPr="00FA5978">
              <w:rPr>
                <w:sz w:val="20"/>
                <w:szCs w:val="20"/>
              </w:rPr>
              <w:t xml:space="preserve"> (МинАрктики МО)</w:t>
            </w:r>
          </w:p>
        </w:tc>
        <w:tc>
          <w:tcPr>
            <w:tcW w:w="801"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86,7%</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112,0%</w:t>
            </w:r>
          </w:p>
        </w:tc>
        <w:tc>
          <w:tcPr>
            <w:tcW w:w="1779"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91,8%</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96,3%</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4</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FA5978">
            <w:pPr>
              <w:ind w:firstLine="0"/>
              <w:jc w:val="left"/>
              <w:rPr>
                <w:sz w:val="20"/>
                <w:szCs w:val="20"/>
              </w:rPr>
            </w:pPr>
            <w:r w:rsidRPr="00FA5978">
              <w:rPr>
                <w:sz w:val="20"/>
                <w:szCs w:val="20"/>
              </w:rPr>
              <w:t>Государственна</w:t>
            </w:r>
            <w:r>
              <w:rPr>
                <w:sz w:val="20"/>
                <w:szCs w:val="20"/>
              </w:rPr>
              <w:t>я программа Мурманской области «</w:t>
            </w:r>
            <w:r w:rsidRPr="00FA5978">
              <w:rPr>
                <w:sz w:val="20"/>
                <w:szCs w:val="20"/>
              </w:rPr>
              <w:t>Физическая культура и спорт</w:t>
            </w:r>
            <w:r>
              <w:rPr>
                <w:sz w:val="20"/>
                <w:szCs w:val="20"/>
              </w:rPr>
              <w:t>»</w:t>
            </w:r>
            <w:r w:rsidRPr="00FA5978">
              <w:rPr>
                <w:sz w:val="20"/>
                <w:szCs w:val="20"/>
              </w:rPr>
              <w:t xml:space="preserve"> (Минспорт МО)</w:t>
            </w:r>
          </w:p>
        </w:tc>
        <w:tc>
          <w:tcPr>
            <w:tcW w:w="801"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93,6%</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100,9%</w:t>
            </w:r>
          </w:p>
        </w:tc>
        <w:tc>
          <w:tcPr>
            <w:tcW w:w="1779"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95,2%</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95,7%</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5</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FA5978">
            <w:pPr>
              <w:ind w:firstLine="0"/>
              <w:jc w:val="left"/>
              <w:rPr>
                <w:sz w:val="20"/>
                <w:szCs w:val="20"/>
              </w:rPr>
            </w:pPr>
            <w:r w:rsidRPr="00FA5978">
              <w:rPr>
                <w:sz w:val="20"/>
                <w:szCs w:val="20"/>
              </w:rPr>
              <w:t xml:space="preserve">Государственная программа </w:t>
            </w:r>
            <w:r>
              <w:rPr>
                <w:sz w:val="20"/>
                <w:szCs w:val="20"/>
              </w:rPr>
              <w:t>Мурманской области «</w:t>
            </w:r>
            <w:r w:rsidRPr="00FA5978">
              <w:rPr>
                <w:sz w:val="20"/>
                <w:szCs w:val="20"/>
              </w:rPr>
              <w:t>Общественная безопасность</w:t>
            </w:r>
            <w:r>
              <w:rPr>
                <w:sz w:val="20"/>
                <w:szCs w:val="20"/>
              </w:rPr>
              <w:t>»</w:t>
            </w:r>
            <w:r w:rsidRPr="00FA5978">
              <w:rPr>
                <w:sz w:val="20"/>
                <w:szCs w:val="20"/>
              </w:rPr>
              <w:t xml:space="preserve"> (Минрегбез МО)</w:t>
            </w:r>
          </w:p>
        </w:tc>
        <w:tc>
          <w:tcPr>
            <w:tcW w:w="801"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96,9%</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105,4%</w:t>
            </w:r>
          </w:p>
        </w:tc>
        <w:tc>
          <w:tcPr>
            <w:tcW w:w="1779"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87,1%</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95,4%</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63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6</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FA5978">
            <w:pPr>
              <w:ind w:firstLine="0"/>
              <w:jc w:val="left"/>
              <w:rPr>
                <w:sz w:val="20"/>
                <w:szCs w:val="20"/>
              </w:rPr>
            </w:pPr>
            <w:r w:rsidRPr="00FA5978">
              <w:rPr>
                <w:sz w:val="20"/>
                <w:szCs w:val="20"/>
              </w:rPr>
              <w:t>Государственна</w:t>
            </w:r>
            <w:r>
              <w:rPr>
                <w:sz w:val="20"/>
                <w:szCs w:val="20"/>
              </w:rPr>
              <w:t>я программа Мурманской области «</w:t>
            </w:r>
            <w:r w:rsidRPr="00FA5978">
              <w:rPr>
                <w:sz w:val="20"/>
                <w:szCs w:val="20"/>
              </w:rPr>
              <w:t>Государственное управление и гражданское общество</w:t>
            </w:r>
            <w:r>
              <w:rPr>
                <w:sz w:val="20"/>
                <w:szCs w:val="20"/>
              </w:rPr>
              <w:t>»</w:t>
            </w:r>
            <w:r w:rsidRPr="00FA5978">
              <w:rPr>
                <w:sz w:val="20"/>
                <w:szCs w:val="20"/>
              </w:rPr>
              <w:t xml:space="preserve"> (Аппарат ПМО)</w:t>
            </w:r>
          </w:p>
        </w:tc>
        <w:tc>
          <w:tcPr>
            <w:tcW w:w="801"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96,0%</w:t>
            </w:r>
          </w:p>
        </w:tc>
        <w:tc>
          <w:tcPr>
            <w:tcW w:w="1785"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96,7%</w:t>
            </w:r>
          </w:p>
        </w:tc>
        <w:tc>
          <w:tcPr>
            <w:tcW w:w="1779"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96,0%</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95,2%</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FA5978">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7</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FA5978">
            <w:pPr>
              <w:ind w:firstLine="0"/>
              <w:jc w:val="left"/>
              <w:rPr>
                <w:sz w:val="20"/>
                <w:szCs w:val="20"/>
              </w:rPr>
            </w:pPr>
            <w:r w:rsidRPr="00FA5978">
              <w:rPr>
                <w:sz w:val="20"/>
                <w:szCs w:val="20"/>
              </w:rPr>
              <w:t>Государственна</w:t>
            </w:r>
            <w:r>
              <w:rPr>
                <w:sz w:val="20"/>
                <w:szCs w:val="20"/>
              </w:rPr>
              <w:t>я программа Мурманской области «</w:t>
            </w:r>
            <w:r w:rsidRPr="00FA5978">
              <w:rPr>
                <w:sz w:val="20"/>
                <w:szCs w:val="20"/>
              </w:rPr>
              <w:t>Социальная поддержка</w:t>
            </w:r>
            <w:r>
              <w:rPr>
                <w:sz w:val="20"/>
                <w:szCs w:val="20"/>
              </w:rPr>
              <w:t>»</w:t>
            </w:r>
            <w:r w:rsidRPr="00FA5978">
              <w:rPr>
                <w:sz w:val="20"/>
                <w:szCs w:val="20"/>
              </w:rPr>
              <w:t xml:space="preserve"> (Министерство труда и соцразвития МО)</w:t>
            </w:r>
          </w:p>
        </w:tc>
        <w:tc>
          <w:tcPr>
            <w:tcW w:w="801"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98,6%</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106,4%</w:t>
            </w:r>
          </w:p>
        </w:tc>
        <w:tc>
          <w:tcPr>
            <w:tcW w:w="1779" w:type="dxa"/>
            <w:tcBorders>
              <w:top w:val="nil"/>
              <w:left w:val="nil"/>
              <w:bottom w:val="single" w:sz="4" w:space="0" w:color="auto"/>
              <w:right w:val="single" w:sz="4" w:space="0" w:color="auto"/>
            </w:tcBorders>
            <w:shd w:val="clear" w:color="auto" w:fill="FF8181"/>
            <w:vAlign w:val="center"/>
            <w:hideMark/>
          </w:tcPr>
          <w:p w:rsidR="00FA5978" w:rsidRPr="00FA5978" w:rsidRDefault="00FA5978" w:rsidP="00067FE0">
            <w:pPr>
              <w:ind w:firstLine="0"/>
              <w:jc w:val="center"/>
              <w:rPr>
                <w:b/>
                <w:bCs/>
                <w:sz w:val="20"/>
                <w:szCs w:val="20"/>
              </w:rPr>
            </w:pPr>
            <w:r w:rsidRPr="00FA5978">
              <w:rPr>
                <w:b/>
                <w:bCs/>
                <w:sz w:val="20"/>
                <w:szCs w:val="20"/>
              </w:rPr>
              <w:t>83,4%</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95,0%</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8</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Default="00FA5978" w:rsidP="00067FE0">
            <w:pPr>
              <w:ind w:firstLine="0"/>
              <w:jc w:val="left"/>
              <w:rPr>
                <w:sz w:val="20"/>
                <w:szCs w:val="20"/>
              </w:rPr>
            </w:pPr>
            <w:r w:rsidRPr="00FA5978">
              <w:rPr>
                <w:sz w:val="20"/>
                <w:szCs w:val="20"/>
              </w:rPr>
              <w:t>Государственна</w:t>
            </w:r>
            <w:r>
              <w:rPr>
                <w:sz w:val="20"/>
                <w:szCs w:val="20"/>
              </w:rPr>
              <w:t>я программа Мурманской области «Здравоохранение»</w:t>
            </w:r>
          </w:p>
          <w:p w:rsidR="00FA5978" w:rsidRPr="00FA5978" w:rsidRDefault="00FA5978" w:rsidP="00067FE0">
            <w:pPr>
              <w:ind w:firstLine="0"/>
              <w:jc w:val="left"/>
              <w:rPr>
                <w:sz w:val="20"/>
                <w:szCs w:val="20"/>
              </w:rPr>
            </w:pPr>
            <w:r w:rsidRPr="00FA5978">
              <w:rPr>
                <w:sz w:val="20"/>
                <w:szCs w:val="20"/>
              </w:rPr>
              <w:t>(Минздрав МО)</w:t>
            </w:r>
          </w:p>
        </w:tc>
        <w:tc>
          <w:tcPr>
            <w:tcW w:w="801"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95,6%</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104,1%</w:t>
            </w:r>
          </w:p>
        </w:tc>
        <w:tc>
          <w:tcPr>
            <w:tcW w:w="1779"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88,2%</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94,9%</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9</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Default="00FA5978" w:rsidP="00FA5978">
            <w:pPr>
              <w:ind w:firstLine="0"/>
              <w:jc w:val="left"/>
              <w:rPr>
                <w:sz w:val="20"/>
                <w:szCs w:val="20"/>
              </w:rPr>
            </w:pPr>
            <w:r w:rsidRPr="00FA5978">
              <w:rPr>
                <w:sz w:val="20"/>
                <w:szCs w:val="20"/>
              </w:rPr>
              <w:t xml:space="preserve">Государственная программа Мурманской области </w:t>
            </w:r>
            <w:r>
              <w:rPr>
                <w:sz w:val="20"/>
                <w:szCs w:val="20"/>
              </w:rPr>
              <w:t>«</w:t>
            </w:r>
            <w:r w:rsidRPr="00FA5978">
              <w:rPr>
                <w:sz w:val="20"/>
                <w:szCs w:val="20"/>
              </w:rPr>
              <w:t>Культура</w:t>
            </w:r>
            <w:r>
              <w:rPr>
                <w:sz w:val="20"/>
                <w:szCs w:val="20"/>
              </w:rPr>
              <w:t>»</w:t>
            </w:r>
          </w:p>
          <w:p w:rsidR="00FA5978" w:rsidRPr="00FA5978" w:rsidRDefault="00FA5978" w:rsidP="00FA5978">
            <w:pPr>
              <w:ind w:firstLine="0"/>
              <w:jc w:val="left"/>
              <w:rPr>
                <w:sz w:val="20"/>
                <w:szCs w:val="20"/>
              </w:rPr>
            </w:pPr>
            <w:r w:rsidRPr="00FA5978">
              <w:rPr>
                <w:sz w:val="20"/>
                <w:szCs w:val="20"/>
              </w:rPr>
              <w:t>(Минкульт МО)</w:t>
            </w:r>
          </w:p>
        </w:tc>
        <w:tc>
          <w:tcPr>
            <w:tcW w:w="801"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99,3%</w:t>
            </w:r>
          </w:p>
        </w:tc>
        <w:tc>
          <w:tcPr>
            <w:tcW w:w="1785"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94,1%</w:t>
            </w:r>
          </w:p>
        </w:tc>
        <w:tc>
          <w:tcPr>
            <w:tcW w:w="1779"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94,8%</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94,9%</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10</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FA5978">
            <w:pPr>
              <w:ind w:firstLine="0"/>
              <w:jc w:val="left"/>
              <w:rPr>
                <w:sz w:val="20"/>
                <w:szCs w:val="20"/>
              </w:rPr>
            </w:pPr>
            <w:r w:rsidRPr="00FA5978">
              <w:rPr>
                <w:sz w:val="20"/>
                <w:szCs w:val="20"/>
              </w:rPr>
              <w:t>Государственна</w:t>
            </w:r>
            <w:r>
              <w:rPr>
                <w:sz w:val="20"/>
                <w:szCs w:val="20"/>
              </w:rPr>
              <w:t>я программа Мурманской области «</w:t>
            </w:r>
            <w:r w:rsidRPr="00FA5978">
              <w:rPr>
                <w:sz w:val="20"/>
                <w:szCs w:val="20"/>
              </w:rPr>
              <w:t>Занятость и труд</w:t>
            </w:r>
            <w:r>
              <w:rPr>
                <w:sz w:val="20"/>
                <w:szCs w:val="20"/>
              </w:rPr>
              <w:t>»</w:t>
            </w:r>
            <w:r w:rsidRPr="00FA5978">
              <w:rPr>
                <w:sz w:val="20"/>
                <w:szCs w:val="20"/>
              </w:rPr>
              <w:t xml:space="preserve"> (Министерство труда и соцразвития МО)</w:t>
            </w:r>
          </w:p>
        </w:tc>
        <w:tc>
          <w:tcPr>
            <w:tcW w:w="801"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93,7%</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102,5%</w:t>
            </w:r>
          </w:p>
        </w:tc>
        <w:tc>
          <w:tcPr>
            <w:tcW w:w="1779"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87,5%</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93,6%</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11</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BA0CDC">
            <w:pPr>
              <w:ind w:firstLine="0"/>
              <w:jc w:val="left"/>
              <w:rPr>
                <w:sz w:val="20"/>
                <w:szCs w:val="20"/>
              </w:rPr>
            </w:pPr>
            <w:r w:rsidRPr="00FA5978">
              <w:rPr>
                <w:sz w:val="20"/>
                <w:szCs w:val="20"/>
              </w:rPr>
              <w:t>Государственна</w:t>
            </w:r>
            <w:r w:rsidR="00BA0CDC">
              <w:rPr>
                <w:sz w:val="20"/>
                <w:szCs w:val="20"/>
              </w:rPr>
              <w:t>я программа Мурманской области «</w:t>
            </w:r>
            <w:r w:rsidRPr="00FA5978">
              <w:rPr>
                <w:sz w:val="20"/>
                <w:szCs w:val="20"/>
              </w:rPr>
              <w:t>Транспортная система</w:t>
            </w:r>
            <w:r w:rsidR="00BA0CDC">
              <w:rPr>
                <w:sz w:val="20"/>
                <w:szCs w:val="20"/>
              </w:rPr>
              <w:t>»</w:t>
            </w:r>
            <w:r w:rsidRPr="00FA5978">
              <w:rPr>
                <w:sz w:val="20"/>
                <w:szCs w:val="20"/>
              </w:rPr>
              <w:t xml:space="preserve"> (Минтранс МО)</w:t>
            </w:r>
          </w:p>
        </w:tc>
        <w:tc>
          <w:tcPr>
            <w:tcW w:w="801"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97,3%</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102,6%</w:t>
            </w:r>
          </w:p>
        </w:tc>
        <w:tc>
          <w:tcPr>
            <w:tcW w:w="1779" w:type="dxa"/>
            <w:tcBorders>
              <w:top w:val="nil"/>
              <w:left w:val="nil"/>
              <w:bottom w:val="single" w:sz="4" w:space="0" w:color="auto"/>
              <w:right w:val="single" w:sz="4" w:space="0" w:color="auto"/>
            </w:tcBorders>
            <w:shd w:val="clear" w:color="000000" w:fill="FF8181"/>
            <w:vAlign w:val="center"/>
            <w:hideMark/>
          </w:tcPr>
          <w:p w:rsidR="00FA5978" w:rsidRPr="00FA5978" w:rsidRDefault="00FA5978" w:rsidP="00067FE0">
            <w:pPr>
              <w:ind w:firstLine="0"/>
              <w:jc w:val="center"/>
              <w:rPr>
                <w:b/>
                <w:bCs/>
                <w:sz w:val="20"/>
                <w:szCs w:val="20"/>
              </w:rPr>
            </w:pPr>
            <w:r w:rsidRPr="00FA5978">
              <w:rPr>
                <w:b/>
                <w:bCs/>
                <w:sz w:val="20"/>
                <w:szCs w:val="20"/>
              </w:rPr>
              <w:t>84,0%</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93,5%</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42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12</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067FE0">
            <w:pPr>
              <w:ind w:firstLine="0"/>
              <w:jc w:val="left"/>
              <w:rPr>
                <w:sz w:val="20"/>
                <w:szCs w:val="20"/>
              </w:rPr>
            </w:pPr>
            <w:r w:rsidRPr="00FA5978">
              <w:rPr>
                <w:sz w:val="20"/>
                <w:szCs w:val="20"/>
              </w:rPr>
              <w:t>Государственна</w:t>
            </w:r>
            <w:r w:rsidR="00BA0CDC">
              <w:rPr>
                <w:sz w:val="20"/>
                <w:szCs w:val="20"/>
              </w:rPr>
              <w:t>я программа Мурманской области «Информационное общество»</w:t>
            </w:r>
            <w:r w:rsidRPr="00FA5978">
              <w:rPr>
                <w:sz w:val="20"/>
                <w:szCs w:val="20"/>
              </w:rPr>
              <w:t xml:space="preserve"> (Минцифра МО) </w:t>
            </w:r>
          </w:p>
        </w:tc>
        <w:tc>
          <w:tcPr>
            <w:tcW w:w="801"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100,0%</w:t>
            </w:r>
          </w:p>
        </w:tc>
        <w:tc>
          <w:tcPr>
            <w:tcW w:w="1785"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96,8%</w:t>
            </w:r>
          </w:p>
        </w:tc>
        <w:tc>
          <w:tcPr>
            <w:tcW w:w="1779" w:type="dxa"/>
            <w:tcBorders>
              <w:top w:val="nil"/>
              <w:left w:val="nil"/>
              <w:bottom w:val="single" w:sz="4" w:space="0" w:color="auto"/>
              <w:right w:val="single" w:sz="4" w:space="0" w:color="auto"/>
            </w:tcBorders>
            <w:shd w:val="clear" w:color="000000" w:fill="FF8181"/>
            <w:vAlign w:val="center"/>
            <w:hideMark/>
          </w:tcPr>
          <w:p w:rsidR="00FA5978" w:rsidRPr="00FA5978" w:rsidRDefault="00FA5978" w:rsidP="00067FE0">
            <w:pPr>
              <w:ind w:firstLine="0"/>
              <w:jc w:val="center"/>
              <w:rPr>
                <w:b/>
                <w:bCs/>
                <w:sz w:val="20"/>
                <w:szCs w:val="20"/>
              </w:rPr>
            </w:pPr>
            <w:r w:rsidRPr="00FA5978">
              <w:rPr>
                <w:b/>
                <w:bCs/>
                <w:sz w:val="20"/>
                <w:szCs w:val="20"/>
              </w:rPr>
              <w:t>84,8%</w:t>
            </w:r>
          </w:p>
        </w:tc>
        <w:tc>
          <w:tcPr>
            <w:tcW w:w="1523"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92,5%</w:t>
            </w:r>
          </w:p>
        </w:tc>
        <w:tc>
          <w:tcPr>
            <w:tcW w:w="1390"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Средняя</w:t>
            </w:r>
          </w:p>
        </w:tc>
      </w:tr>
      <w:tr w:rsidR="00FA5978" w:rsidRPr="002F2374" w:rsidTr="00067FE0">
        <w:trPr>
          <w:trHeight w:val="48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13</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067FE0">
            <w:pPr>
              <w:ind w:firstLine="0"/>
              <w:jc w:val="left"/>
              <w:rPr>
                <w:sz w:val="20"/>
                <w:szCs w:val="20"/>
              </w:rPr>
            </w:pPr>
            <w:r w:rsidRPr="00FA5978">
              <w:rPr>
                <w:sz w:val="20"/>
                <w:szCs w:val="20"/>
              </w:rPr>
              <w:t>Государственна</w:t>
            </w:r>
            <w:r w:rsidR="00BA0CDC">
              <w:rPr>
                <w:sz w:val="20"/>
                <w:szCs w:val="20"/>
              </w:rPr>
              <w:t>я программа Мурманской области «Природные ресурсы и экология»</w:t>
            </w:r>
            <w:r w:rsidRPr="00FA5978">
              <w:rPr>
                <w:sz w:val="20"/>
                <w:szCs w:val="20"/>
              </w:rPr>
              <w:t xml:space="preserve"> (Минприроды МО)</w:t>
            </w:r>
          </w:p>
        </w:tc>
        <w:tc>
          <w:tcPr>
            <w:tcW w:w="801" w:type="dxa"/>
            <w:tcBorders>
              <w:top w:val="nil"/>
              <w:left w:val="nil"/>
              <w:bottom w:val="single" w:sz="4" w:space="0" w:color="auto"/>
              <w:right w:val="single" w:sz="4" w:space="0" w:color="auto"/>
            </w:tcBorders>
            <w:shd w:val="clear" w:color="000000" w:fill="FF8181"/>
            <w:vAlign w:val="center"/>
            <w:hideMark/>
          </w:tcPr>
          <w:p w:rsidR="00FA5978" w:rsidRPr="00FA5978" w:rsidRDefault="00FA5978" w:rsidP="00067FE0">
            <w:pPr>
              <w:ind w:firstLine="0"/>
              <w:jc w:val="center"/>
              <w:rPr>
                <w:b/>
                <w:bCs/>
                <w:sz w:val="20"/>
                <w:szCs w:val="20"/>
              </w:rPr>
            </w:pPr>
            <w:r w:rsidRPr="00FA5978">
              <w:rPr>
                <w:b/>
                <w:bCs/>
                <w:sz w:val="20"/>
                <w:szCs w:val="20"/>
              </w:rPr>
              <w:t>80,4%</w:t>
            </w:r>
          </w:p>
        </w:tc>
        <w:tc>
          <w:tcPr>
            <w:tcW w:w="1785" w:type="dxa"/>
            <w:tcBorders>
              <w:top w:val="nil"/>
              <w:left w:val="nil"/>
              <w:bottom w:val="single" w:sz="4" w:space="0" w:color="auto"/>
              <w:right w:val="single" w:sz="4" w:space="0" w:color="auto"/>
            </w:tcBorders>
            <w:shd w:val="clear" w:color="000000" w:fill="99FF99"/>
            <w:vAlign w:val="center"/>
            <w:hideMark/>
          </w:tcPr>
          <w:p w:rsidR="00FA5978" w:rsidRPr="00FA5978" w:rsidRDefault="00FA5978" w:rsidP="00067FE0">
            <w:pPr>
              <w:ind w:firstLine="0"/>
              <w:jc w:val="center"/>
              <w:rPr>
                <w:b/>
                <w:bCs/>
                <w:sz w:val="20"/>
                <w:szCs w:val="20"/>
              </w:rPr>
            </w:pPr>
            <w:r w:rsidRPr="00FA5978">
              <w:rPr>
                <w:b/>
                <w:bCs/>
                <w:sz w:val="20"/>
                <w:szCs w:val="20"/>
              </w:rPr>
              <w:t>102,2%</w:t>
            </w:r>
          </w:p>
        </w:tc>
        <w:tc>
          <w:tcPr>
            <w:tcW w:w="1779" w:type="dxa"/>
            <w:tcBorders>
              <w:top w:val="nil"/>
              <w:left w:val="nil"/>
              <w:bottom w:val="single" w:sz="4" w:space="0" w:color="auto"/>
              <w:right w:val="single" w:sz="4" w:space="0" w:color="auto"/>
            </w:tcBorders>
            <w:shd w:val="clear" w:color="000000" w:fill="FF8181"/>
            <w:vAlign w:val="center"/>
            <w:hideMark/>
          </w:tcPr>
          <w:p w:rsidR="00FA5978" w:rsidRPr="00FA5978" w:rsidRDefault="00FA5978" w:rsidP="00067FE0">
            <w:pPr>
              <w:ind w:firstLine="0"/>
              <w:jc w:val="center"/>
              <w:rPr>
                <w:b/>
                <w:bCs/>
                <w:sz w:val="20"/>
                <w:szCs w:val="20"/>
              </w:rPr>
            </w:pPr>
            <w:r w:rsidRPr="00FA5978">
              <w:rPr>
                <w:b/>
                <w:bCs/>
                <w:sz w:val="20"/>
                <w:szCs w:val="20"/>
              </w:rPr>
              <w:t>84,9%</w:t>
            </w:r>
          </w:p>
        </w:tc>
        <w:tc>
          <w:tcPr>
            <w:tcW w:w="1523"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88,6%</w:t>
            </w:r>
          </w:p>
        </w:tc>
        <w:tc>
          <w:tcPr>
            <w:tcW w:w="1390"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Ниже среднего</w:t>
            </w:r>
          </w:p>
        </w:tc>
      </w:tr>
      <w:tr w:rsidR="00FA5978" w:rsidRPr="002F2374" w:rsidTr="00067FE0">
        <w:trPr>
          <w:trHeight w:val="48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14</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BA0CDC">
            <w:pPr>
              <w:ind w:firstLine="0"/>
              <w:jc w:val="left"/>
              <w:rPr>
                <w:sz w:val="20"/>
                <w:szCs w:val="20"/>
              </w:rPr>
            </w:pPr>
            <w:r w:rsidRPr="00FA5978">
              <w:rPr>
                <w:sz w:val="20"/>
                <w:szCs w:val="20"/>
              </w:rPr>
              <w:t>Государственна</w:t>
            </w:r>
            <w:r w:rsidR="00BA0CDC">
              <w:rPr>
                <w:sz w:val="20"/>
                <w:szCs w:val="20"/>
              </w:rPr>
              <w:t>я программа Мурманской области «</w:t>
            </w:r>
            <w:r w:rsidRPr="00FA5978">
              <w:rPr>
                <w:sz w:val="20"/>
                <w:szCs w:val="20"/>
              </w:rPr>
              <w:t>Комфортное жилье и городская среда</w:t>
            </w:r>
            <w:r w:rsidR="00BA0CDC">
              <w:rPr>
                <w:sz w:val="20"/>
                <w:szCs w:val="20"/>
              </w:rPr>
              <w:t>»</w:t>
            </w:r>
            <w:r w:rsidRPr="00FA5978">
              <w:rPr>
                <w:sz w:val="20"/>
                <w:szCs w:val="20"/>
              </w:rPr>
              <w:t xml:space="preserve"> (Минстрой МО)</w:t>
            </w:r>
          </w:p>
        </w:tc>
        <w:tc>
          <w:tcPr>
            <w:tcW w:w="801"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94,3%</w:t>
            </w:r>
          </w:p>
        </w:tc>
        <w:tc>
          <w:tcPr>
            <w:tcW w:w="1785" w:type="dxa"/>
            <w:tcBorders>
              <w:top w:val="nil"/>
              <w:left w:val="nil"/>
              <w:bottom w:val="single" w:sz="4" w:space="0" w:color="auto"/>
              <w:right w:val="single" w:sz="4" w:space="0" w:color="auto"/>
            </w:tcBorders>
            <w:shd w:val="clear" w:color="000000" w:fill="FFFF00"/>
            <w:vAlign w:val="center"/>
            <w:hideMark/>
          </w:tcPr>
          <w:p w:rsidR="00FA5978" w:rsidRPr="00FA5978" w:rsidRDefault="00FA5978" w:rsidP="00067FE0">
            <w:pPr>
              <w:ind w:firstLine="0"/>
              <w:jc w:val="center"/>
              <w:rPr>
                <w:b/>
                <w:bCs/>
                <w:sz w:val="20"/>
                <w:szCs w:val="20"/>
              </w:rPr>
            </w:pPr>
            <w:r w:rsidRPr="00FA5978">
              <w:rPr>
                <w:b/>
                <w:bCs/>
                <w:sz w:val="20"/>
                <w:szCs w:val="20"/>
              </w:rPr>
              <w:t>96,0%</w:t>
            </w:r>
          </w:p>
        </w:tc>
        <w:tc>
          <w:tcPr>
            <w:tcW w:w="1779" w:type="dxa"/>
            <w:tcBorders>
              <w:top w:val="nil"/>
              <w:left w:val="nil"/>
              <w:bottom w:val="single" w:sz="4" w:space="0" w:color="auto"/>
              <w:right w:val="single" w:sz="4" w:space="0" w:color="auto"/>
            </w:tcBorders>
            <w:shd w:val="clear" w:color="000000" w:fill="FF8181"/>
            <w:vAlign w:val="center"/>
            <w:hideMark/>
          </w:tcPr>
          <w:p w:rsidR="00FA5978" w:rsidRPr="00FA5978" w:rsidRDefault="00FA5978" w:rsidP="00067FE0">
            <w:pPr>
              <w:ind w:firstLine="0"/>
              <w:jc w:val="center"/>
              <w:rPr>
                <w:b/>
                <w:bCs/>
                <w:sz w:val="20"/>
                <w:szCs w:val="20"/>
              </w:rPr>
            </w:pPr>
            <w:r w:rsidRPr="00FA5978">
              <w:rPr>
                <w:b/>
                <w:bCs/>
                <w:sz w:val="20"/>
                <w:szCs w:val="20"/>
              </w:rPr>
              <w:t>75,3%</w:t>
            </w:r>
          </w:p>
        </w:tc>
        <w:tc>
          <w:tcPr>
            <w:tcW w:w="1523"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87,2%</w:t>
            </w:r>
          </w:p>
        </w:tc>
        <w:tc>
          <w:tcPr>
            <w:tcW w:w="1390"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Ниже среднего</w:t>
            </w:r>
          </w:p>
        </w:tc>
      </w:tr>
      <w:tr w:rsidR="00FA5978" w:rsidRPr="002F2374" w:rsidTr="00067FE0">
        <w:trPr>
          <w:trHeight w:val="480"/>
          <w:jc w:val="cent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978" w:rsidRPr="00FA5978" w:rsidRDefault="00FA5978" w:rsidP="00067FE0">
            <w:pPr>
              <w:ind w:firstLine="0"/>
              <w:jc w:val="center"/>
              <w:rPr>
                <w:sz w:val="20"/>
                <w:szCs w:val="20"/>
              </w:rPr>
            </w:pPr>
            <w:r w:rsidRPr="00FA5978">
              <w:rPr>
                <w:sz w:val="20"/>
                <w:szCs w:val="20"/>
              </w:rPr>
              <w:t>15</w:t>
            </w:r>
          </w:p>
        </w:tc>
        <w:tc>
          <w:tcPr>
            <w:tcW w:w="7128" w:type="dxa"/>
            <w:tcBorders>
              <w:top w:val="single" w:sz="4" w:space="0" w:color="auto"/>
              <w:left w:val="nil"/>
              <w:bottom w:val="single" w:sz="4" w:space="0" w:color="auto"/>
              <w:right w:val="single" w:sz="4" w:space="0" w:color="auto"/>
            </w:tcBorders>
            <w:shd w:val="clear" w:color="auto" w:fill="auto"/>
            <w:vAlign w:val="center"/>
            <w:hideMark/>
          </w:tcPr>
          <w:p w:rsidR="00FA5978" w:rsidRPr="00FA5978" w:rsidRDefault="00FA5978" w:rsidP="00BA0CDC">
            <w:pPr>
              <w:ind w:firstLine="0"/>
              <w:jc w:val="left"/>
              <w:rPr>
                <w:sz w:val="20"/>
                <w:szCs w:val="20"/>
              </w:rPr>
            </w:pPr>
            <w:r w:rsidRPr="00FA5978">
              <w:rPr>
                <w:sz w:val="20"/>
                <w:szCs w:val="20"/>
              </w:rPr>
              <w:t>Государственна</w:t>
            </w:r>
            <w:r w:rsidR="00BA0CDC">
              <w:rPr>
                <w:sz w:val="20"/>
                <w:szCs w:val="20"/>
              </w:rPr>
              <w:t>я программа Мурманской области «</w:t>
            </w:r>
            <w:r w:rsidRPr="00FA5978">
              <w:rPr>
                <w:sz w:val="20"/>
                <w:szCs w:val="20"/>
              </w:rPr>
              <w:t>Рыбное и сельское хозяйство</w:t>
            </w:r>
            <w:r w:rsidR="00BA0CDC">
              <w:rPr>
                <w:sz w:val="20"/>
                <w:szCs w:val="20"/>
              </w:rPr>
              <w:t>»</w:t>
            </w:r>
            <w:r w:rsidRPr="00FA5978">
              <w:rPr>
                <w:sz w:val="20"/>
                <w:szCs w:val="20"/>
              </w:rPr>
              <w:t xml:space="preserve"> (Минприроды МО)</w:t>
            </w:r>
          </w:p>
        </w:tc>
        <w:tc>
          <w:tcPr>
            <w:tcW w:w="801"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85,1%</w:t>
            </w:r>
          </w:p>
        </w:tc>
        <w:tc>
          <w:tcPr>
            <w:tcW w:w="1785"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87,1%</w:t>
            </w:r>
          </w:p>
        </w:tc>
        <w:tc>
          <w:tcPr>
            <w:tcW w:w="1779"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86,8%</w:t>
            </w:r>
          </w:p>
        </w:tc>
        <w:tc>
          <w:tcPr>
            <w:tcW w:w="1523"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85,3%</w:t>
            </w:r>
          </w:p>
        </w:tc>
        <w:tc>
          <w:tcPr>
            <w:tcW w:w="1390" w:type="dxa"/>
            <w:tcBorders>
              <w:top w:val="nil"/>
              <w:left w:val="nil"/>
              <w:bottom w:val="single" w:sz="4" w:space="0" w:color="auto"/>
              <w:right w:val="single" w:sz="4" w:space="0" w:color="auto"/>
            </w:tcBorders>
            <w:shd w:val="clear" w:color="000000" w:fill="FFC000"/>
            <w:vAlign w:val="center"/>
            <w:hideMark/>
          </w:tcPr>
          <w:p w:rsidR="00FA5978" w:rsidRPr="00FA5978" w:rsidRDefault="00FA5978" w:rsidP="00067FE0">
            <w:pPr>
              <w:ind w:firstLine="0"/>
              <w:jc w:val="center"/>
              <w:rPr>
                <w:b/>
                <w:bCs/>
                <w:sz w:val="20"/>
                <w:szCs w:val="20"/>
              </w:rPr>
            </w:pPr>
            <w:r w:rsidRPr="00FA5978">
              <w:rPr>
                <w:b/>
                <w:bCs/>
                <w:sz w:val="20"/>
                <w:szCs w:val="20"/>
              </w:rPr>
              <w:t>Ниже среднего</w:t>
            </w:r>
          </w:p>
        </w:tc>
      </w:tr>
    </w:tbl>
    <w:p w:rsidR="00EC4D91" w:rsidRDefault="00EC4D91" w:rsidP="00EC4D91">
      <w:pPr>
        <w:jc w:val="left"/>
        <w:rPr>
          <w:sz w:val="24"/>
        </w:rPr>
      </w:pPr>
    </w:p>
    <w:p w:rsidR="002C0B9B" w:rsidRDefault="002C0B9B" w:rsidP="002C0B9B">
      <w:pPr>
        <w:autoSpaceDE w:val="0"/>
        <w:autoSpaceDN w:val="0"/>
        <w:adjustRightInd w:val="0"/>
        <w:ind w:firstLine="540"/>
        <w:rPr>
          <w:szCs w:val="28"/>
        </w:rPr>
        <w:sectPr w:rsidR="002C0B9B" w:rsidSect="00BB4B16">
          <w:pgSz w:w="16838" w:h="11906" w:orient="landscape"/>
          <w:pgMar w:top="851" w:right="1134" w:bottom="709" w:left="1134" w:header="709" w:footer="709" w:gutter="0"/>
          <w:cols w:space="708"/>
          <w:docGrid w:linePitch="360"/>
        </w:sectPr>
      </w:pPr>
    </w:p>
    <w:p w:rsidR="002C0B9B" w:rsidRDefault="002C0B9B" w:rsidP="002C0B9B">
      <w:pPr>
        <w:rPr>
          <w:szCs w:val="28"/>
        </w:rPr>
      </w:pPr>
    </w:p>
    <w:p w:rsidR="002C0B9B" w:rsidRPr="00855CDA" w:rsidRDefault="00180BC1" w:rsidP="002C0B9B">
      <w:pPr>
        <w:pStyle w:val="1"/>
      </w:pPr>
      <w:r>
        <w:t>5</w:t>
      </w:r>
      <w:r w:rsidR="00C53220">
        <w:t>. </w:t>
      </w:r>
      <w:r w:rsidR="002C0B9B" w:rsidRPr="00855CDA">
        <w:t>Выводы и рекомендации</w:t>
      </w:r>
    </w:p>
    <w:p w:rsidR="002C0B9B" w:rsidRPr="00535707" w:rsidRDefault="002C0B9B" w:rsidP="002C0B9B">
      <w:pPr>
        <w:pStyle w:val="ConsPlusCell"/>
        <w:ind w:firstLine="709"/>
        <w:jc w:val="both"/>
        <w:rPr>
          <w:rStyle w:val="FontStyle14"/>
          <w:b/>
        </w:rPr>
      </w:pPr>
    </w:p>
    <w:p w:rsidR="00FD0D4B" w:rsidRPr="004E1820" w:rsidRDefault="00FD0D4B" w:rsidP="00FD0D4B">
      <w:pPr>
        <w:autoSpaceDE w:val="0"/>
        <w:autoSpaceDN w:val="0"/>
        <w:adjustRightInd w:val="0"/>
        <w:rPr>
          <w:szCs w:val="28"/>
        </w:rPr>
      </w:pPr>
      <w:r w:rsidRPr="004E1820">
        <w:rPr>
          <w:szCs w:val="28"/>
        </w:rPr>
        <w:t>В целом по всем государственным программам Мурманской области за 202</w:t>
      </w:r>
      <w:r w:rsidR="00CE5BCC">
        <w:rPr>
          <w:szCs w:val="28"/>
        </w:rPr>
        <w:t>3</w:t>
      </w:r>
      <w:r w:rsidRPr="004E1820">
        <w:rPr>
          <w:szCs w:val="28"/>
        </w:rPr>
        <w:t xml:space="preserve"> год </w:t>
      </w:r>
      <w:r w:rsidRPr="004E1820">
        <w:rPr>
          <w:b/>
          <w:szCs w:val="28"/>
        </w:rPr>
        <w:t xml:space="preserve">интегральный показатель эффективности </w:t>
      </w:r>
      <w:r w:rsidRPr="00025909">
        <w:rPr>
          <w:b/>
          <w:szCs w:val="28"/>
        </w:rPr>
        <w:t xml:space="preserve">составил </w:t>
      </w:r>
      <w:bookmarkStart w:id="0" w:name="_Hlk132299303"/>
      <w:r w:rsidR="00CE5BCC" w:rsidRPr="00025909">
        <w:rPr>
          <w:b/>
          <w:szCs w:val="28"/>
        </w:rPr>
        <w:t>93</w:t>
      </w:r>
      <w:r w:rsidRPr="00025909">
        <w:rPr>
          <w:b/>
          <w:szCs w:val="28"/>
        </w:rPr>
        <w:t>,</w:t>
      </w:r>
      <w:r w:rsidR="006059BE" w:rsidRPr="00025909">
        <w:rPr>
          <w:b/>
          <w:szCs w:val="28"/>
        </w:rPr>
        <w:t>71</w:t>
      </w:r>
      <w:r w:rsidRPr="00025909">
        <w:rPr>
          <w:b/>
          <w:szCs w:val="28"/>
        </w:rPr>
        <w:t xml:space="preserve"> </w:t>
      </w:r>
      <w:bookmarkEnd w:id="0"/>
      <w:r w:rsidRPr="00025909">
        <w:rPr>
          <w:b/>
          <w:szCs w:val="28"/>
        </w:rPr>
        <w:t>%</w:t>
      </w:r>
      <w:r w:rsidRPr="00025909">
        <w:rPr>
          <w:szCs w:val="28"/>
        </w:rPr>
        <w:t xml:space="preserve"> (в</w:t>
      </w:r>
      <w:r w:rsidR="00CE5BCC" w:rsidRPr="00025909">
        <w:rPr>
          <w:szCs w:val="28"/>
        </w:rPr>
        <w:t> </w:t>
      </w:r>
      <w:r w:rsidRPr="00025909">
        <w:rPr>
          <w:szCs w:val="28"/>
        </w:rPr>
        <w:t>202</w:t>
      </w:r>
      <w:r w:rsidR="00CE5BCC" w:rsidRPr="00025909">
        <w:rPr>
          <w:szCs w:val="28"/>
        </w:rPr>
        <w:t>2</w:t>
      </w:r>
      <w:r w:rsidRPr="00025909">
        <w:rPr>
          <w:szCs w:val="28"/>
        </w:rPr>
        <w:t xml:space="preserve"> году - </w:t>
      </w:r>
      <w:r w:rsidR="00CE5BCC" w:rsidRPr="00025909">
        <w:rPr>
          <w:szCs w:val="28"/>
        </w:rPr>
        <w:t>92</w:t>
      </w:r>
      <w:r w:rsidR="005C36AA" w:rsidRPr="00025909">
        <w:rPr>
          <w:szCs w:val="28"/>
        </w:rPr>
        <w:t>,</w:t>
      </w:r>
      <w:r w:rsidR="00CE5BCC" w:rsidRPr="00025909">
        <w:rPr>
          <w:szCs w:val="28"/>
        </w:rPr>
        <w:t>89</w:t>
      </w:r>
      <w:r w:rsidR="005C36AA" w:rsidRPr="00025909">
        <w:rPr>
          <w:szCs w:val="28"/>
        </w:rPr>
        <w:t xml:space="preserve"> </w:t>
      </w:r>
      <w:r w:rsidRPr="00025909">
        <w:rPr>
          <w:szCs w:val="28"/>
        </w:rPr>
        <w:t xml:space="preserve">%), что </w:t>
      </w:r>
      <w:r w:rsidR="00CE5BCC" w:rsidRPr="00025909">
        <w:rPr>
          <w:szCs w:val="28"/>
        </w:rPr>
        <w:t>выше</w:t>
      </w:r>
      <w:r w:rsidR="00976A04" w:rsidRPr="00025909">
        <w:rPr>
          <w:szCs w:val="28"/>
        </w:rPr>
        <w:t xml:space="preserve"> на 0,</w:t>
      </w:r>
      <w:r w:rsidR="006059BE" w:rsidRPr="00025909">
        <w:rPr>
          <w:szCs w:val="28"/>
        </w:rPr>
        <w:t>82</w:t>
      </w:r>
      <w:r w:rsidR="00184F3C" w:rsidRPr="00025909">
        <w:rPr>
          <w:szCs w:val="28"/>
        </w:rPr>
        <w:t xml:space="preserve"> п.п.</w:t>
      </w:r>
      <w:r w:rsidR="00854AF7" w:rsidRPr="00025909">
        <w:rPr>
          <w:szCs w:val="28"/>
        </w:rPr>
        <w:t>, чем за 202</w:t>
      </w:r>
      <w:r w:rsidR="00CE5BCC" w:rsidRPr="00025909">
        <w:rPr>
          <w:szCs w:val="28"/>
        </w:rPr>
        <w:t>2</w:t>
      </w:r>
      <w:r w:rsidR="00854AF7" w:rsidRPr="00025909">
        <w:rPr>
          <w:szCs w:val="28"/>
        </w:rPr>
        <w:t xml:space="preserve"> год</w:t>
      </w:r>
      <w:r w:rsidR="00854AF7" w:rsidRPr="004E1820">
        <w:rPr>
          <w:szCs w:val="28"/>
        </w:rPr>
        <w:t xml:space="preserve"> и </w:t>
      </w:r>
      <w:r w:rsidRPr="004E1820">
        <w:rPr>
          <w:szCs w:val="28"/>
        </w:rPr>
        <w:t>соответствует средней оценке (в 202</w:t>
      </w:r>
      <w:r w:rsidR="00CE5BCC">
        <w:rPr>
          <w:szCs w:val="28"/>
        </w:rPr>
        <w:t>2</w:t>
      </w:r>
      <w:r w:rsidRPr="004E1820">
        <w:rPr>
          <w:szCs w:val="28"/>
        </w:rPr>
        <w:t xml:space="preserve"> году – </w:t>
      </w:r>
      <w:r w:rsidR="005C36AA" w:rsidRPr="004E1820">
        <w:rPr>
          <w:szCs w:val="28"/>
        </w:rPr>
        <w:t>средняя оценка</w:t>
      </w:r>
      <w:r w:rsidRPr="004E1820">
        <w:rPr>
          <w:szCs w:val="28"/>
        </w:rPr>
        <w:t xml:space="preserve">). </w:t>
      </w:r>
    </w:p>
    <w:p w:rsidR="00025909" w:rsidRDefault="00025909" w:rsidP="00854AF7">
      <w:pPr>
        <w:pStyle w:val="ConsPlusCell"/>
        <w:ind w:firstLine="709"/>
        <w:jc w:val="both"/>
        <w:rPr>
          <w:rStyle w:val="FontStyle14"/>
          <w:sz w:val="28"/>
          <w:szCs w:val="28"/>
        </w:rPr>
      </w:pPr>
      <w:r w:rsidRPr="00025909">
        <w:rPr>
          <w:rStyle w:val="FontStyle14"/>
          <w:sz w:val="28"/>
          <w:szCs w:val="28"/>
        </w:rPr>
        <w:t>Сохраняющаяся положительная динамика значений показателей к 2022 году по ряду государственных программ свидетельствует о масштабных улучшениях по направлениям социально-экономического развития Мурманской области, а повышение степени выполнения мероприятий и освоения средств – о повышении качества управления по некоторым государственным программам.</w:t>
      </w:r>
    </w:p>
    <w:p w:rsidR="00854AF7" w:rsidRPr="004E1820" w:rsidRDefault="00854AF7" w:rsidP="00854AF7">
      <w:pPr>
        <w:pStyle w:val="ConsPlusCell"/>
        <w:ind w:firstLine="709"/>
        <w:jc w:val="both"/>
        <w:rPr>
          <w:rStyle w:val="FontStyle14"/>
          <w:sz w:val="28"/>
          <w:szCs w:val="28"/>
        </w:rPr>
      </w:pPr>
      <w:r w:rsidRPr="004E1820">
        <w:rPr>
          <w:rStyle w:val="FontStyle14"/>
          <w:sz w:val="28"/>
          <w:szCs w:val="28"/>
        </w:rPr>
        <w:t>При подготовке годовых отчетов о ходе реализации государственных программ исполнительными органами Мурманской области не</w:t>
      </w:r>
      <w:r w:rsidR="00F37482">
        <w:rPr>
          <w:rStyle w:val="FontStyle14"/>
          <w:sz w:val="28"/>
          <w:szCs w:val="28"/>
        </w:rPr>
        <w:t xml:space="preserve"> в полной мере</w:t>
      </w:r>
      <w:r w:rsidRPr="004E1820">
        <w:rPr>
          <w:rStyle w:val="FontStyle14"/>
          <w:sz w:val="28"/>
          <w:szCs w:val="28"/>
        </w:rPr>
        <w:t xml:space="preserve"> проводится анализ причин невыполнения отдельных мероприятий, недостижения плановых значений ряда показателей или отсутствия положительной их динамики в сравнении с 202</w:t>
      </w:r>
      <w:r w:rsidR="00F37482">
        <w:rPr>
          <w:rStyle w:val="FontStyle14"/>
          <w:sz w:val="28"/>
          <w:szCs w:val="28"/>
        </w:rPr>
        <w:t>2</w:t>
      </w:r>
      <w:r w:rsidRPr="004E1820">
        <w:rPr>
          <w:rStyle w:val="FontStyle14"/>
          <w:sz w:val="28"/>
          <w:szCs w:val="28"/>
        </w:rPr>
        <w:t xml:space="preserve"> годом, а также не осуществляется выработка мер по улучшению значений показателей (в отдельных случаях – по повышению эффективности реализации государственной программы в целом).</w:t>
      </w:r>
      <w:r w:rsidR="00F37482">
        <w:rPr>
          <w:rStyle w:val="FontStyle14"/>
          <w:sz w:val="28"/>
          <w:szCs w:val="28"/>
        </w:rPr>
        <w:t xml:space="preserve"> Также по некоторым государственным программам Мурманской области своевременно не были скорректированы плановые объемы финансирования мероприятий (не включены объемы средств, выделенные из резервного фонда Правительства Мурманской области, не скорректированы плановые объемы средств</w:t>
      </w:r>
      <w:r w:rsidR="005D3FA0">
        <w:rPr>
          <w:rStyle w:val="FontStyle14"/>
          <w:sz w:val="28"/>
          <w:szCs w:val="28"/>
        </w:rPr>
        <w:t xml:space="preserve"> из</w:t>
      </w:r>
      <w:r w:rsidR="00F37482">
        <w:rPr>
          <w:rStyle w:val="FontStyle14"/>
          <w:sz w:val="28"/>
          <w:szCs w:val="28"/>
        </w:rPr>
        <w:t xml:space="preserve"> внебюджетных источников</w:t>
      </w:r>
      <w:r w:rsidR="005D3FA0">
        <w:rPr>
          <w:rStyle w:val="FontStyle14"/>
          <w:sz w:val="28"/>
          <w:szCs w:val="28"/>
        </w:rPr>
        <w:t>), что привело к фактическому увеличению степени освоения средств, особенно за счет средств из внебюджетных источников.</w:t>
      </w:r>
    </w:p>
    <w:p w:rsidR="00706420" w:rsidRDefault="002C0B9B" w:rsidP="00706420">
      <w:pPr>
        <w:pStyle w:val="ConsPlusCell"/>
        <w:ind w:firstLine="709"/>
        <w:jc w:val="both"/>
        <w:rPr>
          <w:rStyle w:val="FontStyle14"/>
          <w:sz w:val="28"/>
          <w:szCs w:val="28"/>
        </w:rPr>
      </w:pPr>
      <w:r w:rsidRPr="004E1820">
        <w:rPr>
          <w:rStyle w:val="FontStyle14"/>
          <w:sz w:val="28"/>
          <w:szCs w:val="28"/>
        </w:rPr>
        <w:t xml:space="preserve">Анализ итогов реализации государственных программ Мурманской области свидетельствует о том, что </w:t>
      </w:r>
      <w:r w:rsidR="00FD0D4B" w:rsidRPr="004E1820">
        <w:rPr>
          <w:rStyle w:val="FontStyle14"/>
          <w:sz w:val="28"/>
          <w:szCs w:val="28"/>
        </w:rPr>
        <w:t>невысокие оценки по компонентам интегрального показателя эффективности</w:t>
      </w:r>
      <w:r w:rsidR="00CA0B03" w:rsidRPr="004E1820">
        <w:rPr>
          <w:rStyle w:val="FontStyle14"/>
          <w:sz w:val="28"/>
          <w:szCs w:val="28"/>
        </w:rPr>
        <w:t xml:space="preserve"> требу</w:t>
      </w:r>
      <w:r w:rsidR="00854AF7" w:rsidRPr="004E1820">
        <w:rPr>
          <w:rStyle w:val="FontStyle14"/>
          <w:sz w:val="28"/>
          <w:szCs w:val="28"/>
        </w:rPr>
        <w:t>ю</w:t>
      </w:r>
      <w:r w:rsidR="00CA0B03" w:rsidRPr="004E1820">
        <w:rPr>
          <w:rStyle w:val="FontStyle14"/>
          <w:sz w:val="28"/>
          <w:szCs w:val="28"/>
        </w:rPr>
        <w:t>т повышения качеств</w:t>
      </w:r>
      <w:r w:rsidR="00854AF7" w:rsidRPr="004E1820">
        <w:rPr>
          <w:rStyle w:val="FontStyle14"/>
          <w:sz w:val="28"/>
          <w:szCs w:val="28"/>
        </w:rPr>
        <w:t>а</w:t>
      </w:r>
      <w:r w:rsidR="00CA0B03" w:rsidRPr="004E1820">
        <w:rPr>
          <w:rStyle w:val="FontStyle14"/>
          <w:sz w:val="28"/>
          <w:szCs w:val="28"/>
        </w:rPr>
        <w:t xml:space="preserve"> </w:t>
      </w:r>
      <w:r w:rsidR="00E51827">
        <w:rPr>
          <w:rStyle w:val="FontStyle14"/>
          <w:sz w:val="28"/>
          <w:szCs w:val="28"/>
        </w:rPr>
        <w:t>контроля и</w:t>
      </w:r>
      <w:r w:rsidR="00854AF7" w:rsidRPr="004E1820">
        <w:rPr>
          <w:rStyle w:val="FontStyle14"/>
          <w:sz w:val="28"/>
          <w:szCs w:val="28"/>
        </w:rPr>
        <w:t xml:space="preserve"> тщательной проработки рисков реализации мероприятий и мер по их нивелированию</w:t>
      </w:r>
      <w:r w:rsidR="00CA0B03" w:rsidRPr="004E1820">
        <w:rPr>
          <w:rStyle w:val="FontStyle14"/>
          <w:sz w:val="28"/>
          <w:szCs w:val="28"/>
        </w:rPr>
        <w:t>.</w:t>
      </w:r>
      <w:r w:rsidR="00854AF7" w:rsidRPr="004E1820">
        <w:rPr>
          <w:rStyle w:val="FontStyle14"/>
          <w:sz w:val="28"/>
          <w:szCs w:val="28"/>
        </w:rPr>
        <w:t xml:space="preserve"> Так, сформулированные в государственных программах Мурманской области риски не учитывали всех возникших ситуаций, в связи с чем своевременная корректировка значений и принятие необходимых мер своевременно не проводились.</w:t>
      </w:r>
    </w:p>
    <w:p w:rsidR="00706420" w:rsidRPr="00706420" w:rsidRDefault="00E51827" w:rsidP="00706420">
      <w:pPr>
        <w:pStyle w:val="ConsPlusCell"/>
        <w:ind w:firstLine="709"/>
        <w:jc w:val="both"/>
        <w:rPr>
          <w:rStyle w:val="FontStyle14"/>
          <w:sz w:val="28"/>
          <w:szCs w:val="28"/>
        </w:rPr>
      </w:pPr>
      <w:r>
        <w:rPr>
          <w:rStyle w:val="FontStyle14"/>
          <w:sz w:val="28"/>
          <w:szCs w:val="28"/>
        </w:rPr>
        <w:t>Кроме того, низкие оценки по степени достижения показателей</w:t>
      </w:r>
      <w:r w:rsidR="00706420">
        <w:rPr>
          <w:rStyle w:val="FontStyle14"/>
          <w:sz w:val="28"/>
          <w:szCs w:val="28"/>
        </w:rPr>
        <w:t xml:space="preserve"> (критерий К1)</w:t>
      </w:r>
      <w:r>
        <w:rPr>
          <w:rStyle w:val="FontStyle14"/>
          <w:sz w:val="28"/>
          <w:szCs w:val="28"/>
        </w:rPr>
        <w:t xml:space="preserve"> некоторых государственных программ обусловлены несвоевременной корректировкой (или ее отсутствием)</w:t>
      </w:r>
      <w:r w:rsidR="00706420">
        <w:rPr>
          <w:rStyle w:val="FontStyle14"/>
          <w:sz w:val="28"/>
          <w:szCs w:val="28"/>
        </w:rPr>
        <w:t xml:space="preserve"> плановых значений показателей, декомпозированных в рамках соглашений</w:t>
      </w:r>
      <w:r w:rsidR="00706420" w:rsidRPr="00706420">
        <w:rPr>
          <w:rStyle w:val="FontStyle14"/>
          <w:sz w:val="28"/>
          <w:szCs w:val="28"/>
        </w:rPr>
        <w:t xml:space="preserve"> о реализации на территории</w:t>
      </w:r>
      <w:r w:rsidR="00706420">
        <w:rPr>
          <w:rStyle w:val="FontStyle14"/>
          <w:sz w:val="28"/>
          <w:szCs w:val="28"/>
        </w:rPr>
        <w:t xml:space="preserve"> региона </w:t>
      </w:r>
      <w:r w:rsidR="00706420" w:rsidRPr="00706420">
        <w:rPr>
          <w:rStyle w:val="FontStyle14"/>
          <w:sz w:val="28"/>
          <w:szCs w:val="28"/>
        </w:rPr>
        <w:t xml:space="preserve">государственных программ </w:t>
      </w:r>
      <w:r w:rsidR="00706420">
        <w:rPr>
          <w:rStyle w:val="FontStyle14"/>
          <w:sz w:val="28"/>
          <w:szCs w:val="28"/>
        </w:rPr>
        <w:t>Мурманской области</w:t>
      </w:r>
      <w:r w:rsidR="00706420" w:rsidRPr="00706420">
        <w:rPr>
          <w:rStyle w:val="FontStyle14"/>
          <w:sz w:val="28"/>
          <w:szCs w:val="28"/>
        </w:rPr>
        <w:t>, направленных на достижение целей и показателей</w:t>
      </w:r>
      <w:r w:rsidR="00706420">
        <w:rPr>
          <w:rStyle w:val="FontStyle14"/>
          <w:sz w:val="28"/>
          <w:szCs w:val="28"/>
        </w:rPr>
        <w:t xml:space="preserve"> </w:t>
      </w:r>
      <w:r w:rsidR="00706420" w:rsidRPr="00706420">
        <w:rPr>
          <w:rStyle w:val="FontStyle14"/>
          <w:sz w:val="28"/>
          <w:szCs w:val="28"/>
        </w:rPr>
        <w:t>государственн</w:t>
      </w:r>
      <w:r w:rsidR="00706420">
        <w:rPr>
          <w:rStyle w:val="FontStyle14"/>
          <w:sz w:val="28"/>
          <w:szCs w:val="28"/>
        </w:rPr>
        <w:t>ых</w:t>
      </w:r>
      <w:r w:rsidR="00706420" w:rsidRPr="00706420">
        <w:rPr>
          <w:rStyle w:val="FontStyle14"/>
          <w:sz w:val="28"/>
          <w:szCs w:val="28"/>
        </w:rPr>
        <w:t xml:space="preserve"> программ</w:t>
      </w:r>
      <w:r w:rsidR="00706420">
        <w:rPr>
          <w:rStyle w:val="FontStyle14"/>
          <w:sz w:val="28"/>
          <w:szCs w:val="28"/>
        </w:rPr>
        <w:t xml:space="preserve"> Российской Федерации, или иных «финансовых» соглашений.</w:t>
      </w:r>
    </w:p>
    <w:p w:rsidR="00DB78EF" w:rsidRDefault="00DB78EF" w:rsidP="00FD0D4B">
      <w:pPr>
        <w:pStyle w:val="ConsPlusCell"/>
        <w:ind w:firstLine="709"/>
        <w:jc w:val="both"/>
        <w:rPr>
          <w:rStyle w:val="FontStyle14"/>
          <w:sz w:val="28"/>
          <w:szCs w:val="28"/>
        </w:rPr>
      </w:pPr>
      <w:r w:rsidRPr="00DB78EF">
        <w:rPr>
          <w:rStyle w:val="FontStyle14"/>
          <w:sz w:val="28"/>
          <w:szCs w:val="28"/>
        </w:rPr>
        <w:t xml:space="preserve">Также по отдельным государственным программам зависимость значений показателей и степени выполнения предусмотренных мероприятий (критерии К1 и К3 в таблице 2, Приложении № 4) не имела прямой корреляции в связи с </w:t>
      </w:r>
      <w:r w:rsidRPr="00DB78EF">
        <w:rPr>
          <w:rStyle w:val="FontStyle14"/>
          <w:sz w:val="28"/>
          <w:szCs w:val="28"/>
        </w:rPr>
        <w:lastRenderedPageBreak/>
        <w:t>тем, что многие показатели и результаты были достигнуты за счет заявительного характера мероприятий, а также в результате проведения конкурентных процедур. В связи с чем имело место невысокое их кассовое исполнение, что и повлияло на низкую степень выполнения некоторых мероприятий.</w:t>
      </w:r>
    </w:p>
    <w:p w:rsidR="002C0B9B" w:rsidRPr="004E1820" w:rsidRDefault="00122300" w:rsidP="00FD0D4B">
      <w:pPr>
        <w:pStyle w:val="ConsPlusCell"/>
        <w:ind w:firstLine="709"/>
        <w:jc w:val="both"/>
        <w:rPr>
          <w:rStyle w:val="FontStyle14"/>
          <w:sz w:val="28"/>
          <w:szCs w:val="28"/>
        </w:rPr>
      </w:pPr>
      <w:r>
        <w:rPr>
          <w:rStyle w:val="FontStyle14"/>
          <w:sz w:val="28"/>
          <w:szCs w:val="28"/>
        </w:rPr>
        <w:t>Дополнительно стоит отметить, что н</w:t>
      </w:r>
      <w:r w:rsidRPr="00122300">
        <w:rPr>
          <w:rStyle w:val="FontStyle14"/>
          <w:sz w:val="28"/>
          <w:szCs w:val="28"/>
        </w:rPr>
        <w:t>е удается «переломить» тенденцию отставания от графиков производства работ на объектах капиталь</w:t>
      </w:r>
      <w:r>
        <w:rPr>
          <w:rStyle w:val="FontStyle14"/>
          <w:sz w:val="28"/>
          <w:szCs w:val="28"/>
        </w:rPr>
        <w:t>ного строительства, что требует</w:t>
      </w:r>
      <w:r w:rsidR="00684499">
        <w:rPr>
          <w:rStyle w:val="FontStyle14"/>
          <w:sz w:val="28"/>
          <w:szCs w:val="28"/>
        </w:rPr>
        <w:t xml:space="preserve"> </w:t>
      </w:r>
      <w:r w:rsidR="005C3A27" w:rsidRPr="004E1820">
        <w:rPr>
          <w:rStyle w:val="FontStyle14"/>
          <w:sz w:val="28"/>
          <w:szCs w:val="28"/>
        </w:rPr>
        <w:t xml:space="preserve">продолжения </w:t>
      </w:r>
      <w:r w:rsidR="00FD0D4B" w:rsidRPr="004E1820">
        <w:rPr>
          <w:color w:val="000000"/>
        </w:rPr>
        <w:t>рассмотрения хода строительства объектов в рамках национальных проектов, реализуемых на территории Мурманской области</w:t>
      </w:r>
      <w:r w:rsidR="00684499">
        <w:rPr>
          <w:color w:val="000000"/>
        </w:rPr>
        <w:t>,</w:t>
      </w:r>
      <w:r w:rsidR="00FD0D4B" w:rsidRPr="004E1820">
        <w:rPr>
          <w:color w:val="000000"/>
        </w:rPr>
        <w:t xml:space="preserve"> и государственных программ на штабе по строительству под председательством Губернатора Мурманской области, а также принятия</w:t>
      </w:r>
      <w:r w:rsidR="002C0B9B" w:rsidRPr="004E1820">
        <w:rPr>
          <w:rStyle w:val="FontStyle14"/>
          <w:sz w:val="28"/>
          <w:szCs w:val="28"/>
        </w:rPr>
        <w:t xml:space="preserve"> дополнительных мер по осуществлению</w:t>
      </w:r>
      <w:r w:rsidR="000B427B" w:rsidRPr="004E1820">
        <w:rPr>
          <w:rStyle w:val="FontStyle14"/>
          <w:sz w:val="28"/>
          <w:szCs w:val="28"/>
        </w:rPr>
        <w:t xml:space="preserve"> </w:t>
      </w:r>
      <w:r w:rsidR="002C0B9B" w:rsidRPr="004E1820">
        <w:rPr>
          <w:rStyle w:val="FontStyle14"/>
          <w:sz w:val="28"/>
          <w:szCs w:val="28"/>
        </w:rPr>
        <w:t>контроля со стороны исполнительных органов Мурманской области выполнения работ по капитальному строительству, заказчиками которых выступают органы местного самоуправления и подведомственные организации.</w:t>
      </w:r>
    </w:p>
    <w:p w:rsidR="002A4717" w:rsidRPr="004E1820" w:rsidRDefault="002A4717" w:rsidP="002A4717">
      <w:pPr>
        <w:rPr>
          <w:color w:val="000000"/>
          <w:szCs w:val="28"/>
        </w:rPr>
      </w:pPr>
      <w:r w:rsidRPr="004E1820">
        <w:rPr>
          <w:b/>
          <w:szCs w:val="28"/>
        </w:rPr>
        <w:t>О</w:t>
      </w:r>
      <w:r w:rsidRPr="004E1820">
        <w:rPr>
          <w:b/>
          <w:color w:val="000000"/>
          <w:szCs w:val="28"/>
        </w:rPr>
        <w:t xml:space="preserve">сновными причинами </w:t>
      </w:r>
      <w:r w:rsidRPr="004E1820">
        <w:rPr>
          <w:b/>
          <w:szCs w:val="28"/>
        </w:rPr>
        <w:t xml:space="preserve">неполного освоения бюджетных средств, направленных на финансирование госпрограмм, </w:t>
      </w:r>
      <w:r w:rsidRPr="004E1820">
        <w:rPr>
          <w:b/>
          <w:color w:val="000000"/>
          <w:szCs w:val="28"/>
        </w:rPr>
        <w:t>невыполнения (выполнения не в полном объеме) отдельных мероприятий и низкой эффективности реализации госпрограмм</w:t>
      </w:r>
      <w:r w:rsidRPr="004E1820">
        <w:rPr>
          <w:color w:val="000000"/>
          <w:szCs w:val="28"/>
        </w:rPr>
        <w:t xml:space="preserve"> являются:</w:t>
      </w:r>
    </w:p>
    <w:p w:rsidR="00E5497C" w:rsidRPr="000116D9" w:rsidRDefault="002A4717" w:rsidP="003F466F">
      <w:pPr>
        <w:pStyle w:val="a5"/>
        <w:numPr>
          <w:ilvl w:val="0"/>
          <w:numId w:val="7"/>
        </w:numPr>
        <w:tabs>
          <w:tab w:val="left" w:pos="1276"/>
        </w:tabs>
        <w:autoSpaceDE w:val="0"/>
        <w:autoSpaceDN w:val="0"/>
        <w:adjustRightInd w:val="0"/>
        <w:ind w:left="0" w:firstLine="709"/>
        <w:rPr>
          <w:bCs/>
          <w:szCs w:val="28"/>
        </w:rPr>
      </w:pPr>
      <w:r w:rsidRPr="000116D9">
        <w:rPr>
          <w:bCs/>
          <w:szCs w:val="28"/>
        </w:rPr>
        <w:t>невыполнение (ненадлежащее выполнение) подрядными организациями обязательств по заключенным государственным и муниципальным контрактам;</w:t>
      </w:r>
    </w:p>
    <w:p w:rsidR="001A351D" w:rsidRPr="000116D9" w:rsidRDefault="006D1B83" w:rsidP="001A351D">
      <w:pPr>
        <w:pStyle w:val="a5"/>
        <w:numPr>
          <w:ilvl w:val="0"/>
          <w:numId w:val="7"/>
        </w:numPr>
        <w:tabs>
          <w:tab w:val="left" w:pos="1276"/>
        </w:tabs>
        <w:autoSpaceDE w:val="0"/>
        <w:autoSpaceDN w:val="0"/>
        <w:adjustRightInd w:val="0"/>
        <w:ind w:left="0" w:firstLine="709"/>
        <w:rPr>
          <w:bCs/>
          <w:szCs w:val="28"/>
        </w:rPr>
      </w:pPr>
      <w:r w:rsidRPr="000116D9">
        <w:rPr>
          <w:bCs/>
          <w:szCs w:val="28"/>
        </w:rPr>
        <w:t>перенос сроков реализации мероприятий</w:t>
      </w:r>
      <w:r w:rsidR="00E5497C" w:rsidRPr="000116D9">
        <w:rPr>
          <w:bCs/>
          <w:szCs w:val="28"/>
        </w:rPr>
        <w:t xml:space="preserve">, в том числе </w:t>
      </w:r>
      <w:r w:rsidRPr="000116D9">
        <w:rPr>
          <w:bCs/>
          <w:szCs w:val="28"/>
        </w:rPr>
        <w:t xml:space="preserve">по причине </w:t>
      </w:r>
      <w:r w:rsidR="001A351D" w:rsidRPr="000116D9">
        <w:rPr>
          <w:bCs/>
          <w:szCs w:val="28"/>
        </w:rPr>
        <w:t>отсутстви</w:t>
      </w:r>
      <w:r w:rsidRPr="000116D9">
        <w:rPr>
          <w:bCs/>
          <w:szCs w:val="28"/>
        </w:rPr>
        <w:t>я</w:t>
      </w:r>
      <w:r w:rsidR="001A351D" w:rsidRPr="000116D9">
        <w:rPr>
          <w:bCs/>
          <w:szCs w:val="28"/>
        </w:rPr>
        <w:t xml:space="preserve"> положительных заключений гос</w:t>
      </w:r>
      <w:r w:rsidRPr="000116D9">
        <w:rPr>
          <w:bCs/>
          <w:szCs w:val="28"/>
        </w:rPr>
        <w:t xml:space="preserve">ударственной </w:t>
      </w:r>
      <w:r w:rsidR="001A351D" w:rsidRPr="000116D9">
        <w:rPr>
          <w:bCs/>
          <w:szCs w:val="28"/>
        </w:rPr>
        <w:t>экспертизы и разрешительной документации на проектирование и реконструкцию объектов;</w:t>
      </w:r>
    </w:p>
    <w:p w:rsidR="002A4717" w:rsidRPr="000116D9" w:rsidRDefault="00E5497C" w:rsidP="002A4717">
      <w:pPr>
        <w:pStyle w:val="a5"/>
        <w:numPr>
          <w:ilvl w:val="0"/>
          <w:numId w:val="7"/>
        </w:numPr>
        <w:tabs>
          <w:tab w:val="left" w:pos="1276"/>
        </w:tabs>
        <w:autoSpaceDE w:val="0"/>
        <w:autoSpaceDN w:val="0"/>
        <w:adjustRightInd w:val="0"/>
        <w:ind w:left="0" w:firstLine="709"/>
        <w:rPr>
          <w:bCs/>
          <w:szCs w:val="28"/>
        </w:rPr>
      </w:pPr>
      <w:r w:rsidRPr="000116D9">
        <w:rPr>
          <w:bCs/>
          <w:szCs w:val="28"/>
        </w:rPr>
        <w:t>изменение сроков реализации</w:t>
      </w:r>
      <w:r w:rsidR="002A4717" w:rsidRPr="000116D9">
        <w:rPr>
          <w:bCs/>
          <w:szCs w:val="28"/>
        </w:rPr>
        <w:t xml:space="preserve"> ранее запланированных мероприятий</w:t>
      </w:r>
      <w:r w:rsidRPr="000116D9">
        <w:rPr>
          <w:bCs/>
          <w:szCs w:val="28"/>
        </w:rPr>
        <w:t xml:space="preserve"> или их отмена</w:t>
      </w:r>
      <w:r w:rsidR="002A4717" w:rsidRPr="000116D9">
        <w:rPr>
          <w:bCs/>
          <w:szCs w:val="28"/>
        </w:rPr>
        <w:t xml:space="preserve"> в связи с внешнеполитической ситуаци</w:t>
      </w:r>
      <w:r w:rsidRPr="000116D9">
        <w:rPr>
          <w:bCs/>
          <w:szCs w:val="28"/>
        </w:rPr>
        <w:t>ей</w:t>
      </w:r>
      <w:r w:rsidR="002A4717" w:rsidRPr="000116D9">
        <w:rPr>
          <w:bCs/>
          <w:szCs w:val="28"/>
        </w:rPr>
        <w:t>.</w:t>
      </w:r>
    </w:p>
    <w:p w:rsidR="002A4717" w:rsidRPr="004E1820" w:rsidRDefault="002A4717" w:rsidP="002A4717">
      <w:pPr>
        <w:tabs>
          <w:tab w:val="left" w:pos="1276"/>
        </w:tabs>
        <w:autoSpaceDE w:val="0"/>
        <w:autoSpaceDN w:val="0"/>
        <w:adjustRightInd w:val="0"/>
        <w:rPr>
          <w:bCs/>
        </w:rPr>
      </w:pPr>
      <w:r w:rsidRPr="000116D9">
        <w:rPr>
          <w:bCs/>
          <w:szCs w:val="28"/>
        </w:rPr>
        <w:t>Причинами неполного освоения средств областного бюджета являются также экономия</w:t>
      </w:r>
      <w:r w:rsidR="00E5497C" w:rsidRPr="000116D9">
        <w:rPr>
          <w:bCs/>
          <w:szCs w:val="28"/>
        </w:rPr>
        <w:t>, сложившаяся</w:t>
      </w:r>
      <w:r w:rsidRPr="000116D9">
        <w:rPr>
          <w:bCs/>
          <w:szCs w:val="28"/>
        </w:rPr>
        <w:t xml:space="preserve"> по результатам проведен</w:t>
      </w:r>
      <w:r w:rsidR="00E5497C" w:rsidRPr="000116D9">
        <w:rPr>
          <w:bCs/>
          <w:szCs w:val="28"/>
        </w:rPr>
        <w:t xml:space="preserve">ия </w:t>
      </w:r>
      <w:r w:rsidRPr="000116D9">
        <w:rPr>
          <w:bCs/>
          <w:szCs w:val="28"/>
        </w:rPr>
        <w:t>конкурсных процедур и итогам выполнения работ</w:t>
      </w:r>
      <w:r w:rsidR="00E5497C" w:rsidRPr="000116D9">
        <w:rPr>
          <w:bCs/>
          <w:szCs w:val="28"/>
        </w:rPr>
        <w:t xml:space="preserve">, </w:t>
      </w:r>
      <w:r w:rsidRPr="000116D9">
        <w:rPr>
          <w:bCs/>
          <w:szCs w:val="28"/>
        </w:rPr>
        <w:t>изменение численности получателей социальных выплат</w:t>
      </w:r>
      <w:r w:rsidR="00E5497C" w:rsidRPr="000116D9">
        <w:rPr>
          <w:bCs/>
          <w:szCs w:val="28"/>
        </w:rPr>
        <w:t xml:space="preserve"> по сравнению с прогнозными значениями</w:t>
      </w:r>
      <w:r w:rsidRPr="000116D9">
        <w:rPr>
          <w:bCs/>
          <w:szCs w:val="28"/>
        </w:rPr>
        <w:t>.</w:t>
      </w:r>
    </w:p>
    <w:p w:rsidR="00CA0B03" w:rsidRPr="004E1820" w:rsidRDefault="00CA0B03" w:rsidP="00CA0B03">
      <w:pPr>
        <w:pStyle w:val="ConsPlusCell"/>
        <w:ind w:firstLine="709"/>
        <w:jc w:val="both"/>
        <w:rPr>
          <w:rStyle w:val="FontStyle14"/>
          <w:b/>
          <w:sz w:val="28"/>
          <w:szCs w:val="28"/>
        </w:rPr>
      </w:pPr>
      <w:r w:rsidRPr="004E1820">
        <w:rPr>
          <w:rStyle w:val="FontStyle14"/>
          <w:b/>
          <w:sz w:val="28"/>
          <w:szCs w:val="28"/>
        </w:rPr>
        <w:t>В целях повышения эффективности реализации государственных программ исполнительным органам Мурманской области,</w:t>
      </w:r>
      <w:r w:rsidRPr="004E1820">
        <w:rPr>
          <w:b/>
          <w:color w:val="000000"/>
        </w:rPr>
        <w:t xml:space="preserve"> отвечающим за выполнение мероприятий государственных программ Мурманской области,</w:t>
      </w:r>
      <w:r w:rsidRPr="004E1820">
        <w:rPr>
          <w:rStyle w:val="FontStyle14"/>
          <w:b/>
          <w:sz w:val="28"/>
          <w:szCs w:val="28"/>
        </w:rPr>
        <w:t xml:space="preserve"> в последующие периоды рекомендуется: </w:t>
      </w:r>
    </w:p>
    <w:p w:rsidR="00025909" w:rsidRPr="00025909" w:rsidRDefault="00025909" w:rsidP="00025909">
      <w:pPr>
        <w:tabs>
          <w:tab w:val="left" w:pos="1276"/>
        </w:tabs>
        <w:autoSpaceDE w:val="0"/>
        <w:autoSpaceDN w:val="0"/>
        <w:adjustRightInd w:val="0"/>
        <w:rPr>
          <w:bCs/>
          <w:szCs w:val="28"/>
        </w:rPr>
      </w:pPr>
      <w:r w:rsidRPr="00025909">
        <w:rPr>
          <w:bCs/>
          <w:szCs w:val="28"/>
        </w:rPr>
        <w:t>1. Учесть результаты реализации государственных программ Мурманской области за 2023 год при их корректировке и дальнейшей реализации.</w:t>
      </w:r>
    </w:p>
    <w:p w:rsidR="00025909" w:rsidRPr="00025909" w:rsidRDefault="00025909" w:rsidP="00025909">
      <w:pPr>
        <w:tabs>
          <w:tab w:val="left" w:pos="1276"/>
        </w:tabs>
        <w:autoSpaceDE w:val="0"/>
        <w:autoSpaceDN w:val="0"/>
        <w:adjustRightInd w:val="0"/>
        <w:rPr>
          <w:bCs/>
          <w:szCs w:val="28"/>
        </w:rPr>
      </w:pPr>
      <w:r w:rsidRPr="00025909">
        <w:rPr>
          <w:bCs/>
          <w:szCs w:val="28"/>
        </w:rPr>
        <w:t>2. Обеспечить актуализацию рисков при планировании значений показателей.</w:t>
      </w:r>
    </w:p>
    <w:p w:rsidR="00025909" w:rsidRPr="00025909" w:rsidRDefault="00025909" w:rsidP="00025909">
      <w:pPr>
        <w:tabs>
          <w:tab w:val="left" w:pos="1276"/>
        </w:tabs>
        <w:autoSpaceDE w:val="0"/>
        <w:autoSpaceDN w:val="0"/>
        <w:adjustRightInd w:val="0"/>
        <w:rPr>
          <w:bCs/>
          <w:szCs w:val="28"/>
        </w:rPr>
      </w:pPr>
      <w:r w:rsidRPr="00025909">
        <w:rPr>
          <w:bCs/>
          <w:szCs w:val="28"/>
        </w:rPr>
        <w:t>3. Учитывать сроки подготовки и проведения конкурсных процедур по отбору исполнителей и подрядчиков, а также возможность выполнения запланированных объемов работ в установленные сроки, при включении в государственные программы Мурманской области объектов капитального строительства и установлении плановых объемов финансирования по объектам.</w:t>
      </w:r>
    </w:p>
    <w:p w:rsidR="00025909" w:rsidRPr="00025909" w:rsidRDefault="00025909" w:rsidP="00025909">
      <w:pPr>
        <w:tabs>
          <w:tab w:val="left" w:pos="1276"/>
        </w:tabs>
        <w:autoSpaceDE w:val="0"/>
        <w:autoSpaceDN w:val="0"/>
        <w:adjustRightInd w:val="0"/>
        <w:rPr>
          <w:bCs/>
          <w:szCs w:val="28"/>
        </w:rPr>
      </w:pPr>
      <w:r w:rsidRPr="00025909">
        <w:rPr>
          <w:bCs/>
          <w:szCs w:val="28"/>
        </w:rPr>
        <w:lastRenderedPageBreak/>
        <w:t>4. Усилить контроль со стороны исполнительных органов Мурманской области за выполнением работ по капитальному строительству, а также за своевременностью и качеством выполнения мероприятий в рамках государственных программ.</w:t>
      </w:r>
    </w:p>
    <w:p w:rsidR="00025909" w:rsidRPr="00025909" w:rsidRDefault="00025909" w:rsidP="00025909">
      <w:pPr>
        <w:tabs>
          <w:tab w:val="left" w:pos="1276"/>
        </w:tabs>
        <w:autoSpaceDE w:val="0"/>
        <w:autoSpaceDN w:val="0"/>
        <w:adjustRightInd w:val="0"/>
        <w:rPr>
          <w:bCs/>
          <w:szCs w:val="28"/>
        </w:rPr>
      </w:pPr>
      <w:r w:rsidRPr="00025909">
        <w:rPr>
          <w:bCs/>
          <w:szCs w:val="28"/>
        </w:rPr>
        <w:t>В связи с чем также необходимо продолжить рассмотрение хода строительства объектов в рамках национальных проектов, реализуемых на территории Мурманской области, и государственных программ на штабе по строительству под председательством Губернатора Мурманской области, а также обеспечить принятие дополнительных мер по осуществлению контроля со стороны исполнительных органов Мурманской области за ходом выполнения работ по капитальному строительству, заказчиками которых выступают органы местного самоуправления и подведомственные организации.</w:t>
      </w:r>
    </w:p>
    <w:p w:rsidR="00025909" w:rsidRPr="00025909" w:rsidRDefault="00025909" w:rsidP="00025909">
      <w:pPr>
        <w:tabs>
          <w:tab w:val="left" w:pos="1276"/>
        </w:tabs>
        <w:autoSpaceDE w:val="0"/>
        <w:autoSpaceDN w:val="0"/>
        <w:adjustRightInd w:val="0"/>
        <w:rPr>
          <w:bCs/>
          <w:szCs w:val="28"/>
        </w:rPr>
      </w:pPr>
      <w:r w:rsidRPr="00025909">
        <w:rPr>
          <w:bCs/>
          <w:szCs w:val="28"/>
        </w:rPr>
        <w:t xml:space="preserve">5. Повысить качество мониторинга по достижению показателей государственных программ с целью обеспечения своевременной корректировки их значений, особенно в связи с заключением дополнительных «финансовых» и «нефинансовых» соглашений, в рамках которых декомпозируются соответствующие значения показателей государственных программ Российской Федерации (несвоевременная корректировка приводит к низким оценкам степени достижения показателей </w:t>
      </w:r>
      <w:r>
        <w:rPr>
          <w:bCs/>
          <w:szCs w:val="28"/>
        </w:rPr>
        <w:t>–</w:t>
      </w:r>
      <w:r w:rsidRPr="00025909">
        <w:rPr>
          <w:bCs/>
          <w:szCs w:val="28"/>
        </w:rPr>
        <w:t xml:space="preserve"> критерий</w:t>
      </w:r>
      <w:r>
        <w:rPr>
          <w:bCs/>
          <w:szCs w:val="28"/>
        </w:rPr>
        <w:t xml:space="preserve"> </w:t>
      </w:r>
      <w:r w:rsidRPr="00025909">
        <w:rPr>
          <w:bCs/>
          <w:szCs w:val="28"/>
        </w:rPr>
        <w:t>К1).</w:t>
      </w:r>
    </w:p>
    <w:p w:rsidR="00025909" w:rsidRDefault="00025909" w:rsidP="00025909">
      <w:pPr>
        <w:tabs>
          <w:tab w:val="left" w:pos="1276"/>
        </w:tabs>
        <w:autoSpaceDE w:val="0"/>
        <w:autoSpaceDN w:val="0"/>
        <w:adjustRightInd w:val="0"/>
        <w:rPr>
          <w:bCs/>
          <w:szCs w:val="28"/>
        </w:rPr>
      </w:pPr>
      <w:r w:rsidRPr="00025909">
        <w:rPr>
          <w:bCs/>
          <w:szCs w:val="28"/>
        </w:rPr>
        <w:t>6. Обеспечить своевременное приведение плановых значений объемов финансирования к показателям сводной бюджетной росписи областного бюджета на конец текущего финансового года (не позднее 1 марта очередного финансового года), в том числе плановых значений объемов финансирования из внебюджетных источников.</w:t>
      </w:r>
    </w:p>
    <w:p w:rsidR="00E026DB" w:rsidRDefault="00316F80" w:rsidP="00E026DB">
      <w:pPr>
        <w:tabs>
          <w:tab w:val="left" w:pos="1276"/>
        </w:tabs>
        <w:autoSpaceDE w:val="0"/>
        <w:autoSpaceDN w:val="0"/>
        <w:adjustRightInd w:val="0"/>
        <w:rPr>
          <w:bCs/>
          <w:szCs w:val="28"/>
        </w:rPr>
      </w:pPr>
      <w:r>
        <w:rPr>
          <w:bCs/>
          <w:szCs w:val="28"/>
        </w:rPr>
        <w:t>Также ответственным исполнителям и соисполнителям государственных программ Мурманской области п</w:t>
      </w:r>
      <w:r w:rsidRPr="00316F80">
        <w:rPr>
          <w:bCs/>
          <w:szCs w:val="28"/>
        </w:rPr>
        <w:t xml:space="preserve">ри подготовке проектов изменений в </w:t>
      </w:r>
      <w:r>
        <w:rPr>
          <w:bCs/>
          <w:szCs w:val="28"/>
        </w:rPr>
        <w:t>программы</w:t>
      </w:r>
      <w:r w:rsidRPr="00316F80">
        <w:rPr>
          <w:bCs/>
          <w:szCs w:val="28"/>
        </w:rPr>
        <w:t xml:space="preserve"> в рамках формирования проекта областного бюджета на 202</w:t>
      </w:r>
      <w:r>
        <w:rPr>
          <w:bCs/>
          <w:szCs w:val="28"/>
        </w:rPr>
        <w:t>6</w:t>
      </w:r>
      <w:r w:rsidRPr="00316F80">
        <w:rPr>
          <w:bCs/>
          <w:szCs w:val="28"/>
        </w:rPr>
        <w:t xml:space="preserve"> год и на плановый период 202</w:t>
      </w:r>
      <w:r>
        <w:rPr>
          <w:bCs/>
          <w:szCs w:val="28"/>
        </w:rPr>
        <w:t>7</w:t>
      </w:r>
      <w:r w:rsidRPr="00316F80">
        <w:rPr>
          <w:bCs/>
          <w:szCs w:val="28"/>
        </w:rPr>
        <w:t xml:space="preserve"> и 202</w:t>
      </w:r>
      <w:r>
        <w:rPr>
          <w:bCs/>
          <w:szCs w:val="28"/>
        </w:rPr>
        <w:t>8</w:t>
      </w:r>
      <w:r w:rsidRPr="00316F80">
        <w:rPr>
          <w:bCs/>
          <w:szCs w:val="28"/>
        </w:rPr>
        <w:t xml:space="preserve"> годов</w:t>
      </w:r>
      <w:r w:rsidR="00C30B6B">
        <w:rPr>
          <w:bCs/>
          <w:szCs w:val="28"/>
        </w:rPr>
        <w:t xml:space="preserve">, </w:t>
      </w:r>
      <w:r w:rsidR="00C30B6B" w:rsidRPr="00025909">
        <w:rPr>
          <w:b/>
          <w:bCs/>
          <w:szCs w:val="28"/>
        </w:rPr>
        <w:t>с учетом панируемого перехода на новую систему управления государственными программами</w:t>
      </w:r>
      <w:r w:rsidR="00C30B6B">
        <w:rPr>
          <w:bCs/>
          <w:szCs w:val="28"/>
        </w:rPr>
        <w:t xml:space="preserve">, </w:t>
      </w:r>
      <w:r>
        <w:rPr>
          <w:bCs/>
          <w:szCs w:val="28"/>
        </w:rPr>
        <w:t>необходимо</w:t>
      </w:r>
      <w:r w:rsidRPr="00316F80">
        <w:rPr>
          <w:bCs/>
          <w:szCs w:val="28"/>
        </w:rPr>
        <w:t>:</w:t>
      </w:r>
    </w:p>
    <w:p w:rsidR="00A670BD" w:rsidRDefault="00316F80" w:rsidP="00A670BD">
      <w:pPr>
        <w:tabs>
          <w:tab w:val="left" w:pos="1276"/>
        </w:tabs>
        <w:autoSpaceDE w:val="0"/>
        <w:autoSpaceDN w:val="0"/>
        <w:adjustRightInd w:val="0"/>
        <w:rPr>
          <w:bCs/>
          <w:szCs w:val="28"/>
        </w:rPr>
      </w:pPr>
      <w:r>
        <w:rPr>
          <w:bCs/>
          <w:szCs w:val="28"/>
        </w:rPr>
        <w:t>1. Обеспечить</w:t>
      </w:r>
      <w:r w:rsidR="00A670BD" w:rsidRPr="004E1820">
        <w:rPr>
          <w:bCs/>
          <w:szCs w:val="28"/>
        </w:rPr>
        <w:t> актуализацию приоритетов реализации государственных программ с учетом принятия (</w:t>
      </w:r>
      <w:r w:rsidR="00854AF7" w:rsidRPr="004E1820">
        <w:rPr>
          <w:bCs/>
          <w:szCs w:val="28"/>
        </w:rPr>
        <w:t>изменения</w:t>
      </w:r>
      <w:r w:rsidR="00A670BD" w:rsidRPr="004E1820">
        <w:rPr>
          <w:bCs/>
          <w:szCs w:val="28"/>
        </w:rPr>
        <w:t>) документов стратегического планирования</w:t>
      </w:r>
      <w:r w:rsidR="00854AF7" w:rsidRPr="004E1820">
        <w:rPr>
          <w:bCs/>
          <w:szCs w:val="28"/>
        </w:rPr>
        <w:t xml:space="preserve">, разрабатываемых </w:t>
      </w:r>
      <w:r>
        <w:rPr>
          <w:bCs/>
          <w:szCs w:val="28"/>
        </w:rPr>
        <w:t>на федеральном уровне.</w:t>
      </w:r>
    </w:p>
    <w:p w:rsidR="00C30B6B" w:rsidRDefault="00316F80" w:rsidP="00C30B6B">
      <w:pPr>
        <w:tabs>
          <w:tab w:val="left" w:pos="1276"/>
        </w:tabs>
        <w:autoSpaceDE w:val="0"/>
        <w:autoSpaceDN w:val="0"/>
        <w:adjustRightInd w:val="0"/>
        <w:rPr>
          <w:szCs w:val="28"/>
        </w:rPr>
      </w:pPr>
      <w:r>
        <w:rPr>
          <w:bCs/>
          <w:szCs w:val="28"/>
        </w:rPr>
        <w:t>2.</w:t>
      </w:r>
      <w:r w:rsidR="00C30B6B">
        <w:rPr>
          <w:bCs/>
          <w:szCs w:val="28"/>
        </w:rPr>
        <w:t xml:space="preserve"> Осуществлять формирование </w:t>
      </w:r>
      <w:r>
        <w:rPr>
          <w:szCs w:val="28"/>
        </w:rPr>
        <w:t>проектов государствен</w:t>
      </w:r>
      <w:r w:rsidR="00C30B6B">
        <w:rPr>
          <w:szCs w:val="28"/>
        </w:rPr>
        <w:t>ных программ Мурманской области в новом формате с учетом:</w:t>
      </w:r>
    </w:p>
    <w:p w:rsidR="00C30B6B" w:rsidRDefault="00316F80" w:rsidP="00067FE0">
      <w:pPr>
        <w:pStyle w:val="a5"/>
        <w:numPr>
          <w:ilvl w:val="0"/>
          <w:numId w:val="11"/>
        </w:numPr>
        <w:tabs>
          <w:tab w:val="left" w:pos="1276"/>
        </w:tabs>
        <w:autoSpaceDE w:val="0"/>
        <w:autoSpaceDN w:val="0"/>
        <w:adjustRightInd w:val="0"/>
        <w:ind w:left="0" w:firstLine="709"/>
        <w:rPr>
          <w:szCs w:val="28"/>
        </w:rPr>
      </w:pPr>
      <w:r w:rsidRPr="00C30B6B">
        <w:rPr>
          <w:szCs w:val="28"/>
        </w:rPr>
        <w:t>Методических рекомендации по разработке и реализации государственных программ субъектов Российской Федерации и муниципальных программ, доведенных письмом Минэкономразвития России № 3493-ПК/Д19и, Минфина России № 26-02-06/9321 от 06.02.2023 (</w:t>
      </w:r>
      <w:r w:rsidRPr="00C30B6B">
        <w:rPr>
          <w:i/>
          <w:sz w:val="24"/>
          <w:szCs w:val="24"/>
        </w:rPr>
        <w:t xml:space="preserve">в </w:t>
      </w:r>
      <w:r w:rsidR="00BB7592">
        <w:rPr>
          <w:i/>
          <w:sz w:val="24"/>
          <w:szCs w:val="24"/>
        </w:rPr>
        <w:t xml:space="preserve">СЭДО   </w:t>
      </w:r>
      <w:proofErr w:type="spellStart"/>
      <w:r w:rsidR="00BB7592">
        <w:rPr>
          <w:i/>
          <w:sz w:val="24"/>
          <w:szCs w:val="24"/>
        </w:rPr>
        <w:t>вх</w:t>
      </w:r>
      <w:proofErr w:type="spellEnd"/>
      <w:r w:rsidR="00BB7592">
        <w:rPr>
          <w:i/>
          <w:sz w:val="24"/>
          <w:szCs w:val="24"/>
        </w:rPr>
        <w:t>. </w:t>
      </w:r>
      <w:r w:rsidR="00C30B6B" w:rsidRPr="00C30B6B">
        <w:rPr>
          <w:i/>
          <w:sz w:val="24"/>
          <w:szCs w:val="24"/>
        </w:rPr>
        <w:t>1569 от 07.02.2023</w:t>
      </w:r>
      <w:r w:rsidR="00C30B6B" w:rsidRPr="00C30B6B">
        <w:rPr>
          <w:szCs w:val="28"/>
        </w:rPr>
        <w:t>);</w:t>
      </w:r>
    </w:p>
    <w:p w:rsidR="00C30B6B" w:rsidRDefault="00C30B6B" w:rsidP="00C30B6B">
      <w:pPr>
        <w:pStyle w:val="a5"/>
        <w:numPr>
          <w:ilvl w:val="0"/>
          <w:numId w:val="11"/>
        </w:numPr>
        <w:tabs>
          <w:tab w:val="left" w:pos="1276"/>
        </w:tabs>
        <w:autoSpaceDE w:val="0"/>
        <w:autoSpaceDN w:val="0"/>
        <w:adjustRightInd w:val="0"/>
        <w:ind w:left="0" w:firstLine="709"/>
        <w:rPr>
          <w:szCs w:val="28"/>
        </w:rPr>
      </w:pPr>
      <w:r w:rsidRPr="00C30B6B">
        <w:rPr>
          <w:szCs w:val="28"/>
        </w:rPr>
        <w:t>Положени</w:t>
      </w:r>
      <w:r>
        <w:rPr>
          <w:szCs w:val="28"/>
        </w:rPr>
        <w:t>я</w:t>
      </w:r>
      <w:r w:rsidRPr="00C30B6B">
        <w:rPr>
          <w:szCs w:val="28"/>
        </w:rPr>
        <w:t xml:space="preserve"> о системе управления государственными программами Мурманской области</w:t>
      </w:r>
      <w:r>
        <w:rPr>
          <w:szCs w:val="28"/>
        </w:rPr>
        <w:t>, утвержденного</w:t>
      </w:r>
      <w:r w:rsidRPr="00C30B6B">
        <w:rPr>
          <w:szCs w:val="28"/>
        </w:rPr>
        <w:t xml:space="preserve"> </w:t>
      </w:r>
      <w:r>
        <w:rPr>
          <w:szCs w:val="28"/>
        </w:rPr>
        <w:t>п</w:t>
      </w:r>
      <w:r w:rsidRPr="00C30B6B">
        <w:rPr>
          <w:szCs w:val="28"/>
        </w:rPr>
        <w:t>остановление</w:t>
      </w:r>
      <w:r>
        <w:rPr>
          <w:szCs w:val="28"/>
        </w:rPr>
        <w:t>м</w:t>
      </w:r>
      <w:r w:rsidRPr="00C30B6B">
        <w:rPr>
          <w:szCs w:val="28"/>
        </w:rPr>
        <w:t xml:space="preserve"> Правительства Мурманской области от 28.09.2023 </w:t>
      </w:r>
      <w:r>
        <w:rPr>
          <w:szCs w:val="28"/>
        </w:rPr>
        <w:t>№ 696-ПП «</w:t>
      </w:r>
      <w:r w:rsidRPr="00C30B6B">
        <w:rPr>
          <w:szCs w:val="28"/>
        </w:rPr>
        <w:t>О системе управления государственными программами Мурманской области</w:t>
      </w:r>
      <w:r>
        <w:rPr>
          <w:szCs w:val="28"/>
        </w:rPr>
        <w:t>»;</w:t>
      </w:r>
    </w:p>
    <w:p w:rsidR="00C30B6B" w:rsidRPr="00C30B6B" w:rsidRDefault="00C30B6B" w:rsidP="00C30B6B">
      <w:pPr>
        <w:pStyle w:val="a5"/>
        <w:numPr>
          <w:ilvl w:val="0"/>
          <w:numId w:val="11"/>
        </w:numPr>
        <w:tabs>
          <w:tab w:val="left" w:pos="1276"/>
        </w:tabs>
        <w:autoSpaceDE w:val="0"/>
        <w:autoSpaceDN w:val="0"/>
        <w:adjustRightInd w:val="0"/>
        <w:ind w:left="0" w:firstLine="709"/>
        <w:rPr>
          <w:szCs w:val="28"/>
        </w:rPr>
      </w:pPr>
      <w:r w:rsidRPr="00C30B6B">
        <w:rPr>
          <w:szCs w:val="28"/>
        </w:rPr>
        <w:t>Положения об организации проектной деятельности в исполнительных органах Мурманской области</w:t>
      </w:r>
      <w:r>
        <w:rPr>
          <w:szCs w:val="28"/>
        </w:rPr>
        <w:t>, утвержденного</w:t>
      </w:r>
      <w:r w:rsidRPr="00C30B6B">
        <w:rPr>
          <w:szCs w:val="28"/>
        </w:rPr>
        <w:t xml:space="preserve"> </w:t>
      </w:r>
      <w:r>
        <w:rPr>
          <w:szCs w:val="28"/>
        </w:rPr>
        <w:t>п</w:t>
      </w:r>
      <w:r w:rsidRPr="00C30B6B">
        <w:rPr>
          <w:szCs w:val="28"/>
        </w:rPr>
        <w:t>остановление</w:t>
      </w:r>
      <w:r>
        <w:rPr>
          <w:szCs w:val="28"/>
        </w:rPr>
        <w:t>м</w:t>
      </w:r>
      <w:r w:rsidRPr="00C30B6B">
        <w:rPr>
          <w:szCs w:val="28"/>
        </w:rPr>
        <w:t xml:space="preserve"> </w:t>
      </w:r>
      <w:r w:rsidRPr="00C30B6B">
        <w:rPr>
          <w:szCs w:val="28"/>
        </w:rPr>
        <w:lastRenderedPageBreak/>
        <w:t xml:space="preserve">Правительства Мурманской области от 28.04.2017 </w:t>
      </w:r>
      <w:r>
        <w:rPr>
          <w:szCs w:val="28"/>
        </w:rPr>
        <w:t>№</w:t>
      </w:r>
      <w:r w:rsidRPr="00C30B6B">
        <w:rPr>
          <w:szCs w:val="28"/>
        </w:rPr>
        <w:t xml:space="preserve"> 228-ПП/4 </w:t>
      </w:r>
      <w:r>
        <w:rPr>
          <w:szCs w:val="28"/>
        </w:rPr>
        <w:t>«</w:t>
      </w:r>
      <w:r w:rsidRPr="00C30B6B">
        <w:rPr>
          <w:szCs w:val="28"/>
        </w:rPr>
        <w:t>Об</w:t>
      </w:r>
      <w:r>
        <w:rPr>
          <w:szCs w:val="28"/>
        </w:rPr>
        <w:t> </w:t>
      </w:r>
      <w:r w:rsidRPr="00C30B6B">
        <w:rPr>
          <w:szCs w:val="28"/>
        </w:rPr>
        <w:t>утверждении Положения об организации проектной деятельности в исполнител</w:t>
      </w:r>
      <w:r>
        <w:rPr>
          <w:szCs w:val="28"/>
        </w:rPr>
        <w:t>ьных органах Мурманской области».</w:t>
      </w:r>
    </w:p>
    <w:p w:rsidR="009A0551" w:rsidRDefault="00067FE0" w:rsidP="00180BC1">
      <w:pPr>
        <w:tabs>
          <w:tab w:val="left" w:pos="1276"/>
        </w:tabs>
        <w:autoSpaceDE w:val="0"/>
        <w:autoSpaceDN w:val="0"/>
        <w:adjustRightInd w:val="0"/>
        <w:rPr>
          <w:bCs/>
          <w:szCs w:val="28"/>
        </w:rPr>
      </w:pPr>
      <w:r w:rsidRPr="009A0551">
        <w:rPr>
          <w:bCs/>
          <w:szCs w:val="28"/>
        </w:rPr>
        <w:t>Кроме того, в</w:t>
      </w:r>
      <w:r w:rsidR="00CA7969" w:rsidRPr="009A0551">
        <w:rPr>
          <w:bCs/>
          <w:szCs w:val="28"/>
        </w:rPr>
        <w:t xml:space="preserve"> целях обеспечения контроля за реализацией государственных программ Мурманской области</w:t>
      </w:r>
      <w:r w:rsidR="003153B4" w:rsidRPr="009A0551">
        <w:rPr>
          <w:bCs/>
          <w:szCs w:val="28"/>
        </w:rPr>
        <w:t xml:space="preserve">, </w:t>
      </w:r>
      <w:r w:rsidR="00CA7969" w:rsidRPr="009A0551">
        <w:rPr>
          <w:bCs/>
          <w:szCs w:val="28"/>
        </w:rPr>
        <w:t xml:space="preserve">наиболее эффективного достижения целей и решения задач социально-экономического развития региона, </w:t>
      </w:r>
      <w:r w:rsidR="003153B4" w:rsidRPr="009A0551">
        <w:rPr>
          <w:bCs/>
          <w:szCs w:val="28"/>
        </w:rPr>
        <w:t>а также исполнения поручений федеральных</w:t>
      </w:r>
      <w:r w:rsidR="009A0551">
        <w:rPr>
          <w:bCs/>
          <w:szCs w:val="28"/>
        </w:rPr>
        <w:t xml:space="preserve"> исполнительных органов власти, </w:t>
      </w:r>
      <w:r w:rsidR="009A0551" w:rsidRPr="009A0551">
        <w:rPr>
          <w:b/>
          <w:bCs/>
          <w:szCs w:val="28"/>
        </w:rPr>
        <w:t>рекомендуем</w:t>
      </w:r>
      <w:r w:rsidR="009A0551">
        <w:rPr>
          <w:bCs/>
          <w:szCs w:val="28"/>
        </w:rPr>
        <w:t xml:space="preserve"> </w:t>
      </w:r>
      <w:r w:rsidR="009A0551" w:rsidRPr="009A0551">
        <w:rPr>
          <w:b/>
          <w:bCs/>
          <w:szCs w:val="28"/>
        </w:rPr>
        <w:t>разделить государственные программы «Комфортное жилье и городская среда» и «Рыбное и сельское хозяйство»</w:t>
      </w:r>
      <w:r w:rsidR="009A0551">
        <w:rPr>
          <w:bCs/>
          <w:szCs w:val="28"/>
        </w:rPr>
        <w:t xml:space="preserve">, </w:t>
      </w:r>
      <w:r w:rsidR="009A0551" w:rsidRPr="00025909">
        <w:rPr>
          <w:bCs/>
          <w:szCs w:val="28"/>
        </w:rPr>
        <w:t xml:space="preserve">выделив </w:t>
      </w:r>
      <w:r w:rsidR="00255B1E" w:rsidRPr="00025909">
        <w:rPr>
          <w:bCs/>
          <w:szCs w:val="28"/>
        </w:rPr>
        <w:t xml:space="preserve">из них </w:t>
      </w:r>
      <w:r w:rsidR="009A0551" w:rsidRPr="00025909">
        <w:rPr>
          <w:bCs/>
          <w:szCs w:val="28"/>
        </w:rPr>
        <w:t>мероприятия</w:t>
      </w:r>
      <w:r w:rsidR="00255B1E" w:rsidRPr="00025909">
        <w:rPr>
          <w:bCs/>
          <w:szCs w:val="28"/>
        </w:rPr>
        <w:t>, реализуемые</w:t>
      </w:r>
      <w:r w:rsidR="009A0551">
        <w:rPr>
          <w:bCs/>
          <w:szCs w:val="28"/>
        </w:rPr>
        <w:t xml:space="preserve"> </w:t>
      </w:r>
      <w:r w:rsidR="009A0551" w:rsidRPr="009A0551">
        <w:rPr>
          <w:bCs/>
          <w:szCs w:val="28"/>
        </w:rPr>
        <w:t>Министерств</w:t>
      </w:r>
      <w:r w:rsidR="00255B1E">
        <w:rPr>
          <w:bCs/>
          <w:szCs w:val="28"/>
        </w:rPr>
        <w:t>ом</w:t>
      </w:r>
      <w:r w:rsidR="009A0551" w:rsidRPr="009A0551">
        <w:rPr>
          <w:bCs/>
          <w:szCs w:val="28"/>
        </w:rPr>
        <w:t xml:space="preserve"> градостроительства и благоустройства </w:t>
      </w:r>
      <w:r w:rsidR="00255B1E">
        <w:rPr>
          <w:bCs/>
          <w:szCs w:val="28"/>
        </w:rPr>
        <w:t>Мурманской области, Министерством</w:t>
      </w:r>
      <w:r w:rsidR="009A0551" w:rsidRPr="009A0551">
        <w:rPr>
          <w:bCs/>
          <w:szCs w:val="28"/>
        </w:rPr>
        <w:t xml:space="preserve"> энергетики и жилищно-коммунального хозяйс</w:t>
      </w:r>
      <w:r w:rsidR="00255B1E">
        <w:rPr>
          <w:bCs/>
          <w:szCs w:val="28"/>
        </w:rPr>
        <w:t>тва Мурманской области, Комитетом</w:t>
      </w:r>
      <w:r w:rsidR="009A0551" w:rsidRPr="009A0551">
        <w:rPr>
          <w:bCs/>
          <w:szCs w:val="28"/>
        </w:rPr>
        <w:t xml:space="preserve"> по ветеринарии Мурманской области</w:t>
      </w:r>
      <w:r w:rsidR="00255B1E">
        <w:rPr>
          <w:bCs/>
          <w:szCs w:val="28"/>
        </w:rPr>
        <w:t>,</w:t>
      </w:r>
      <w:r w:rsidR="009A0551">
        <w:rPr>
          <w:bCs/>
          <w:szCs w:val="28"/>
        </w:rPr>
        <w:t xml:space="preserve"> и иные параметры вышеуказанных программ </w:t>
      </w:r>
      <w:r w:rsidR="009A0551" w:rsidRPr="009A0551">
        <w:rPr>
          <w:bCs/>
          <w:szCs w:val="28"/>
        </w:rPr>
        <w:t>в отдельные государственные программы.</w:t>
      </w:r>
    </w:p>
    <w:p w:rsidR="009A0551" w:rsidRDefault="009A0551" w:rsidP="00180BC1">
      <w:pPr>
        <w:tabs>
          <w:tab w:val="left" w:pos="1276"/>
        </w:tabs>
        <w:autoSpaceDE w:val="0"/>
        <w:autoSpaceDN w:val="0"/>
        <w:adjustRightInd w:val="0"/>
        <w:rPr>
          <w:bCs/>
          <w:szCs w:val="28"/>
        </w:rPr>
      </w:pPr>
      <w:r>
        <w:rPr>
          <w:bCs/>
          <w:szCs w:val="28"/>
        </w:rPr>
        <w:t xml:space="preserve">Соответственно Министерству развития Арктики и экономики Мурманской области, </w:t>
      </w:r>
      <w:r w:rsidRPr="009A0551">
        <w:rPr>
          <w:bCs/>
          <w:szCs w:val="28"/>
        </w:rPr>
        <w:t xml:space="preserve">с учетом положений </w:t>
      </w:r>
      <w:r>
        <w:rPr>
          <w:bCs/>
          <w:szCs w:val="28"/>
        </w:rPr>
        <w:t xml:space="preserve">региональных нормативно-правовых актов </w:t>
      </w:r>
      <w:r w:rsidRPr="009A0551">
        <w:rPr>
          <w:bCs/>
          <w:szCs w:val="28"/>
        </w:rPr>
        <w:t>и предложений исполнительных органов Мурманской области</w:t>
      </w:r>
      <w:r>
        <w:rPr>
          <w:bCs/>
          <w:szCs w:val="28"/>
        </w:rPr>
        <w:t xml:space="preserve">, </w:t>
      </w:r>
      <w:r w:rsidR="00E674F2">
        <w:rPr>
          <w:bCs/>
          <w:szCs w:val="28"/>
        </w:rPr>
        <w:t>необходимо обеспечить внесение изменений в П</w:t>
      </w:r>
      <w:r w:rsidR="00E674F2" w:rsidRPr="00E674F2">
        <w:rPr>
          <w:bCs/>
          <w:szCs w:val="28"/>
        </w:rPr>
        <w:t>еречень государственных программ Мурманской области</w:t>
      </w:r>
      <w:r w:rsidR="00E674F2">
        <w:rPr>
          <w:bCs/>
          <w:szCs w:val="28"/>
        </w:rPr>
        <w:t xml:space="preserve">, утвержденный </w:t>
      </w:r>
      <w:r w:rsidR="00E674F2" w:rsidRPr="00E674F2">
        <w:rPr>
          <w:bCs/>
          <w:szCs w:val="28"/>
        </w:rPr>
        <w:t>распоряжение</w:t>
      </w:r>
      <w:r w:rsidR="00E674F2">
        <w:rPr>
          <w:bCs/>
          <w:szCs w:val="28"/>
        </w:rPr>
        <w:t>м</w:t>
      </w:r>
      <w:r w:rsidR="00E674F2" w:rsidRPr="00E674F2">
        <w:rPr>
          <w:bCs/>
          <w:szCs w:val="28"/>
        </w:rPr>
        <w:t xml:space="preserve"> Правительства Мурманской</w:t>
      </w:r>
      <w:r w:rsidR="00E674F2">
        <w:rPr>
          <w:bCs/>
          <w:szCs w:val="28"/>
        </w:rPr>
        <w:t xml:space="preserve"> области от 01.02.2013 № 30-РП (в редакции распоряжения Правительства Мурманской области от 01.03.2024 № 53-РП).</w:t>
      </w:r>
      <w:bookmarkStart w:id="1" w:name="_GoBack"/>
      <w:bookmarkEnd w:id="1"/>
    </w:p>
    <w:p w:rsidR="00CA7969" w:rsidRPr="004E1820" w:rsidRDefault="00CA7969" w:rsidP="00180BC1">
      <w:pPr>
        <w:tabs>
          <w:tab w:val="left" w:pos="1276"/>
        </w:tabs>
        <w:autoSpaceDE w:val="0"/>
        <w:autoSpaceDN w:val="0"/>
        <w:adjustRightInd w:val="0"/>
        <w:rPr>
          <w:bCs/>
          <w:szCs w:val="28"/>
        </w:rPr>
      </w:pPr>
    </w:p>
    <w:p w:rsidR="00CA0B03" w:rsidRPr="00FF18A9" w:rsidRDefault="00CA0B03" w:rsidP="00CA0B03">
      <w:pPr>
        <w:pStyle w:val="ConsPlusCell"/>
        <w:tabs>
          <w:tab w:val="left" w:pos="1134"/>
        </w:tabs>
        <w:jc w:val="center"/>
        <w:rPr>
          <w:rStyle w:val="FontStyle14"/>
        </w:rPr>
      </w:pPr>
      <w:r w:rsidRPr="004E1820">
        <w:rPr>
          <w:rStyle w:val="FontStyle14"/>
        </w:rPr>
        <w:t>_____________</w:t>
      </w:r>
    </w:p>
    <w:sectPr w:rsidR="00CA0B03" w:rsidRPr="00FF18A9" w:rsidSect="00BB4B1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43F" w:rsidRDefault="003F643F">
      <w:r>
        <w:separator/>
      </w:r>
    </w:p>
  </w:endnote>
  <w:endnote w:type="continuationSeparator" w:id="0">
    <w:p w:rsidR="003F643F" w:rsidRDefault="003F6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43F" w:rsidRDefault="003F643F">
      <w:r>
        <w:separator/>
      </w:r>
    </w:p>
  </w:footnote>
  <w:footnote w:type="continuationSeparator" w:id="0">
    <w:p w:rsidR="003F643F" w:rsidRDefault="003F6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FE0" w:rsidRPr="00CD51CC" w:rsidRDefault="00067FE0" w:rsidP="00BB4B16">
    <w:pPr>
      <w:pStyle w:val="a3"/>
      <w:ind w:firstLine="0"/>
      <w:jc w:val="center"/>
      <w:rPr>
        <w:sz w:val="20"/>
      </w:rPr>
    </w:pPr>
    <w:r w:rsidRPr="00CD51CC">
      <w:rPr>
        <w:sz w:val="20"/>
      </w:rPr>
      <w:fldChar w:fldCharType="begin"/>
    </w:r>
    <w:r w:rsidRPr="00CD51CC">
      <w:rPr>
        <w:sz w:val="20"/>
      </w:rPr>
      <w:instrText>PAGE   \* MERGEFORMAT</w:instrText>
    </w:r>
    <w:r w:rsidRPr="00CD51CC">
      <w:rPr>
        <w:sz w:val="20"/>
      </w:rPr>
      <w:fldChar w:fldCharType="separate"/>
    </w:r>
    <w:r w:rsidR="00025909">
      <w:rPr>
        <w:noProof/>
        <w:sz w:val="20"/>
      </w:rPr>
      <w:t>7</w:t>
    </w:r>
    <w:r w:rsidRPr="00CD51CC">
      <w:rPr>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FE0" w:rsidRPr="00CD51CC" w:rsidRDefault="00067FE0" w:rsidP="00BB4B16">
    <w:pPr>
      <w:pStyle w:val="a3"/>
      <w:ind w:firstLine="0"/>
      <w:jc w:val="center"/>
      <w:rPr>
        <w:sz w:val="20"/>
      </w:rPr>
    </w:pPr>
    <w:r w:rsidRPr="00CD51CC">
      <w:rPr>
        <w:sz w:val="20"/>
      </w:rPr>
      <w:fldChar w:fldCharType="begin"/>
    </w:r>
    <w:r w:rsidRPr="00CD51CC">
      <w:rPr>
        <w:sz w:val="20"/>
      </w:rPr>
      <w:instrText>PAGE   \* MERGEFORMAT</w:instrText>
    </w:r>
    <w:r w:rsidRPr="00CD51CC">
      <w:rPr>
        <w:sz w:val="20"/>
      </w:rPr>
      <w:fldChar w:fldCharType="separate"/>
    </w:r>
    <w:r w:rsidR="00025909">
      <w:rPr>
        <w:noProof/>
        <w:sz w:val="20"/>
      </w:rPr>
      <w:t>12</w:t>
    </w:r>
    <w:r w:rsidRPr="00CD51CC">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C2835"/>
    <w:multiLevelType w:val="hybridMultilevel"/>
    <w:tmpl w:val="75D87880"/>
    <w:lvl w:ilvl="0" w:tplc="66A2B7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96B2518"/>
    <w:multiLevelType w:val="hybridMultilevel"/>
    <w:tmpl w:val="9DC4F1E8"/>
    <w:lvl w:ilvl="0" w:tplc="48EE260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
    <w:nsid w:val="2D83470B"/>
    <w:multiLevelType w:val="hybridMultilevel"/>
    <w:tmpl w:val="66BCA4A4"/>
    <w:lvl w:ilvl="0" w:tplc="66A2B7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5F3482"/>
    <w:multiLevelType w:val="hybridMultilevel"/>
    <w:tmpl w:val="2A8450C8"/>
    <w:lvl w:ilvl="0" w:tplc="66A2B7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DBE1F03"/>
    <w:multiLevelType w:val="multilevel"/>
    <w:tmpl w:val="0419001F"/>
    <w:lvl w:ilvl="0">
      <w:start w:val="1"/>
      <w:numFmt w:val="decimal"/>
      <w:lvlText w:val="%1."/>
      <w:lvlJc w:val="left"/>
      <w:pPr>
        <w:ind w:left="928"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E2C0453"/>
    <w:multiLevelType w:val="hybridMultilevel"/>
    <w:tmpl w:val="278EE884"/>
    <w:lvl w:ilvl="0" w:tplc="2BF6E1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9885437"/>
    <w:multiLevelType w:val="hybridMultilevel"/>
    <w:tmpl w:val="13D655FC"/>
    <w:lvl w:ilvl="0" w:tplc="48EE2602">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
    <w:nsid w:val="6B5266AF"/>
    <w:multiLevelType w:val="hybridMultilevel"/>
    <w:tmpl w:val="3F60D15A"/>
    <w:lvl w:ilvl="0" w:tplc="66A2B7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C4572B2"/>
    <w:multiLevelType w:val="hybridMultilevel"/>
    <w:tmpl w:val="C6089602"/>
    <w:lvl w:ilvl="0" w:tplc="48EE26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FDB7295"/>
    <w:multiLevelType w:val="hybridMultilevel"/>
    <w:tmpl w:val="3AA66E7C"/>
    <w:lvl w:ilvl="0" w:tplc="66A2B7DA">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FB754CA"/>
    <w:multiLevelType w:val="hybridMultilevel"/>
    <w:tmpl w:val="1D8859FA"/>
    <w:lvl w:ilvl="0" w:tplc="EB22F734">
      <w:start w:val="1"/>
      <w:numFmt w:val="bullet"/>
      <w:lvlText w:val="-"/>
      <w:lvlJc w:val="left"/>
      <w:pPr>
        <w:ind w:left="1502" w:hanging="360"/>
      </w:pPr>
      <w:rPr>
        <w:rFonts w:ascii="SimSun" w:eastAsia="SimSun" w:hAnsi="SimSun" w:hint="eastAsia"/>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num w:numId="1">
    <w:abstractNumId w:val="1"/>
  </w:num>
  <w:num w:numId="2">
    <w:abstractNumId w:val="6"/>
  </w:num>
  <w:num w:numId="3">
    <w:abstractNumId w:val="8"/>
  </w:num>
  <w:num w:numId="4">
    <w:abstractNumId w:val="9"/>
  </w:num>
  <w:num w:numId="5">
    <w:abstractNumId w:val="4"/>
  </w:num>
  <w:num w:numId="6">
    <w:abstractNumId w:val="10"/>
  </w:num>
  <w:num w:numId="7">
    <w:abstractNumId w:val="5"/>
  </w:num>
  <w:num w:numId="8">
    <w:abstractNumId w:val="2"/>
  </w:num>
  <w:num w:numId="9">
    <w:abstractNumId w:val="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C0B9B"/>
    <w:rsid w:val="0000568A"/>
    <w:rsid w:val="000116D9"/>
    <w:rsid w:val="00025909"/>
    <w:rsid w:val="00027EC7"/>
    <w:rsid w:val="000520F5"/>
    <w:rsid w:val="00054394"/>
    <w:rsid w:val="00056B17"/>
    <w:rsid w:val="000633CB"/>
    <w:rsid w:val="00066AD3"/>
    <w:rsid w:val="00067FE0"/>
    <w:rsid w:val="0008476D"/>
    <w:rsid w:val="00096611"/>
    <w:rsid w:val="000A2648"/>
    <w:rsid w:val="000B427B"/>
    <w:rsid w:val="000B43D9"/>
    <w:rsid w:val="000C6D93"/>
    <w:rsid w:val="000D1797"/>
    <w:rsid w:val="000D3967"/>
    <w:rsid w:val="000F68EA"/>
    <w:rsid w:val="00103F7E"/>
    <w:rsid w:val="00110C3E"/>
    <w:rsid w:val="00114CFB"/>
    <w:rsid w:val="001205D5"/>
    <w:rsid w:val="00120E4B"/>
    <w:rsid w:val="00121DFC"/>
    <w:rsid w:val="00122300"/>
    <w:rsid w:val="001267E4"/>
    <w:rsid w:val="00132F79"/>
    <w:rsid w:val="00160B7A"/>
    <w:rsid w:val="001630D7"/>
    <w:rsid w:val="00180BC1"/>
    <w:rsid w:val="00184F3C"/>
    <w:rsid w:val="00196C4E"/>
    <w:rsid w:val="001A351D"/>
    <w:rsid w:val="001A3AE4"/>
    <w:rsid w:val="001B311B"/>
    <w:rsid w:val="001F1851"/>
    <w:rsid w:val="00206756"/>
    <w:rsid w:val="00210D1F"/>
    <w:rsid w:val="00214D40"/>
    <w:rsid w:val="00220550"/>
    <w:rsid w:val="002220D7"/>
    <w:rsid w:val="00237BF1"/>
    <w:rsid w:val="00240DDF"/>
    <w:rsid w:val="00255B1E"/>
    <w:rsid w:val="00256A14"/>
    <w:rsid w:val="00272AD1"/>
    <w:rsid w:val="00272BCC"/>
    <w:rsid w:val="002752E5"/>
    <w:rsid w:val="00282A01"/>
    <w:rsid w:val="00287921"/>
    <w:rsid w:val="00296B0C"/>
    <w:rsid w:val="00297EB1"/>
    <w:rsid w:val="002A1AF3"/>
    <w:rsid w:val="002A4717"/>
    <w:rsid w:val="002A5B0E"/>
    <w:rsid w:val="002A751C"/>
    <w:rsid w:val="002B0172"/>
    <w:rsid w:val="002C0B9B"/>
    <w:rsid w:val="002E1F64"/>
    <w:rsid w:val="003153B4"/>
    <w:rsid w:val="00316F80"/>
    <w:rsid w:val="003342F0"/>
    <w:rsid w:val="0033612E"/>
    <w:rsid w:val="0034651F"/>
    <w:rsid w:val="003855EB"/>
    <w:rsid w:val="003B0D22"/>
    <w:rsid w:val="003F466F"/>
    <w:rsid w:val="003F643F"/>
    <w:rsid w:val="0041632A"/>
    <w:rsid w:val="004219FC"/>
    <w:rsid w:val="00435A82"/>
    <w:rsid w:val="00463FD5"/>
    <w:rsid w:val="00465B50"/>
    <w:rsid w:val="00485D23"/>
    <w:rsid w:val="004A2CFB"/>
    <w:rsid w:val="004A611E"/>
    <w:rsid w:val="004B0465"/>
    <w:rsid w:val="004B136C"/>
    <w:rsid w:val="004D4CE1"/>
    <w:rsid w:val="004E1703"/>
    <w:rsid w:val="004E1820"/>
    <w:rsid w:val="00501AA8"/>
    <w:rsid w:val="005175A7"/>
    <w:rsid w:val="005200AE"/>
    <w:rsid w:val="00520D76"/>
    <w:rsid w:val="00526B81"/>
    <w:rsid w:val="00531375"/>
    <w:rsid w:val="00541840"/>
    <w:rsid w:val="005527D4"/>
    <w:rsid w:val="005628F1"/>
    <w:rsid w:val="0057054B"/>
    <w:rsid w:val="005A0589"/>
    <w:rsid w:val="005A64FB"/>
    <w:rsid w:val="005B5924"/>
    <w:rsid w:val="005C19D0"/>
    <w:rsid w:val="005C1CDC"/>
    <w:rsid w:val="005C36AA"/>
    <w:rsid w:val="005C3A27"/>
    <w:rsid w:val="005D3FA0"/>
    <w:rsid w:val="005E0FDF"/>
    <w:rsid w:val="005E4D6D"/>
    <w:rsid w:val="005F0251"/>
    <w:rsid w:val="005F0CD7"/>
    <w:rsid w:val="005F68F1"/>
    <w:rsid w:val="00604AC5"/>
    <w:rsid w:val="006059BE"/>
    <w:rsid w:val="0060651B"/>
    <w:rsid w:val="00622B64"/>
    <w:rsid w:val="00633025"/>
    <w:rsid w:val="0063769B"/>
    <w:rsid w:val="00657031"/>
    <w:rsid w:val="00682065"/>
    <w:rsid w:val="00684499"/>
    <w:rsid w:val="00691B54"/>
    <w:rsid w:val="006A3B22"/>
    <w:rsid w:val="006A4FDE"/>
    <w:rsid w:val="006A5BB6"/>
    <w:rsid w:val="006D1B83"/>
    <w:rsid w:val="006E147C"/>
    <w:rsid w:val="006E5B87"/>
    <w:rsid w:val="00706420"/>
    <w:rsid w:val="007071A1"/>
    <w:rsid w:val="00707FFE"/>
    <w:rsid w:val="00710BDD"/>
    <w:rsid w:val="007110FD"/>
    <w:rsid w:val="0072496A"/>
    <w:rsid w:val="0073412E"/>
    <w:rsid w:val="00737B1F"/>
    <w:rsid w:val="00747E3D"/>
    <w:rsid w:val="00751926"/>
    <w:rsid w:val="00762284"/>
    <w:rsid w:val="007B6550"/>
    <w:rsid w:val="007E4828"/>
    <w:rsid w:val="007E5B20"/>
    <w:rsid w:val="00837A31"/>
    <w:rsid w:val="00843C8C"/>
    <w:rsid w:val="00854AF7"/>
    <w:rsid w:val="00855A30"/>
    <w:rsid w:val="00867963"/>
    <w:rsid w:val="008825DA"/>
    <w:rsid w:val="0089030D"/>
    <w:rsid w:val="00892E63"/>
    <w:rsid w:val="00895720"/>
    <w:rsid w:val="008D27E9"/>
    <w:rsid w:val="008E5C53"/>
    <w:rsid w:val="008F2156"/>
    <w:rsid w:val="0090779C"/>
    <w:rsid w:val="0091170A"/>
    <w:rsid w:val="00914B6B"/>
    <w:rsid w:val="009241B4"/>
    <w:rsid w:val="00925454"/>
    <w:rsid w:val="009314FB"/>
    <w:rsid w:val="00946242"/>
    <w:rsid w:val="00957158"/>
    <w:rsid w:val="009744E6"/>
    <w:rsid w:val="00975A11"/>
    <w:rsid w:val="00976A04"/>
    <w:rsid w:val="009A0551"/>
    <w:rsid w:val="009B08C5"/>
    <w:rsid w:val="009B1872"/>
    <w:rsid w:val="009B2003"/>
    <w:rsid w:val="009C5F64"/>
    <w:rsid w:val="009D1E56"/>
    <w:rsid w:val="009D408B"/>
    <w:rsid w:val="009D7461"/>
    <w:rsid w:val="009E612A"/>
    <w:rsid w:val="00A122B5"/>
    <w:rsid w:val="00A32FEF"/>
    <w:rsid w:val="00A46F5C"/>
    <w:rsid w:val="00A47AD0"/>
    <w:rsid w:val="00A5713D"/>
    <w:rsid w:val="00A66E8D"/>
    <w:rsid w:val="00A670BD"/>
    <w:rsid w:val="00A842EF"/>
    <w:rsid w:val="00A93ABE"/>
    <w:rsid w:val="00A951A0"/>
    <w:rsid w:val="00AA1ACE"/>
    <w:rsid w:val="00AA4D9C"/>
    <w:rsid w:val="00AA6290"/>
    <w:rsid w:val="00AB243C"/>
    <w:rsid w:val="00AB6C12"/>
    <w:rsid w:val="00AC0E91"/>
    <w:rsid w:val="00AC3E78"/>
    <w:rsid w:val="00AC5A6F"/>
    <w:rsid w:val="00AE3621"/>
    <w:rsid w:val="00AF5957"/>
    <w:rsid w:val="00B11BC9"/>
    <w:rsid w:val="00B4379F"/>
    <w:rsid w:val="00B54514"/>
    <w:rsid w:val="00BA0CDC"/>
    <w:rsid w:val="00BA5351"/>
    <w:rsid w:val="00BA7A55"/>
    <w:rsid w:val="00BB3A77"/>
    <w:rsid w:val="00BB4B16"/>
    <w:rsid w:val="00BB5415"/>
    <w:rsid w:val="00BB7592"/>
    <w:rsid w:val="00BC7167"/>
    <w:rsid w:val="00BF5CD6"/>
    <w:rsid w:val="00C2049F"/>
    <w:rsid w:val="00C30B6B"/>
    <w:rsid w:val="00C412F3"/>
    <w:rsid w:val="00C45149"/>
    <w:rsid w:val="00C53220"/>
    <w:rsid w:val="00C53802"/>
    <w:rsid w:val="00C54DC6"/>
    <w:rsid w:val="00C57586"/>
    <w:rsid w:val="00C5767C"/>
    <w:rsid w:val="00C67C6F"/>
    <w:rsid w:val="00C758E2"/>
    <w:rsid w:val="00C80808"/>
    <w:rsid w:val="00C8675E"/>
    <w:rsid w:val="00C918AE"/>
    <w:rsid w:val="00CA0B03"/>
    <w:rsid w:val="00CA2E3C"/>
    <w:rsid w:val="00CA7969"/>
    <w:rsid w:val="00CB29FA"/>
    <w:rsid w:val="00CE25FA"/>
    <w:rsid w:val="00CE5BCC"/>
    <w:rsid w:val="00CF0D78"/>
    <w:rsid w:val="00CF521F"/>
    <w:rsid w:val="00D242E4"/>
    <w:rsid w:val="00D51DE8"/>
    <w:rsid w:val="00D52F17"/>
    <w:rsid w:val="00D54C47"/>
    <w:rsid w:val="00D56B50"/>
    <w:rsid w:val="00DB78EF"/>
    <w:rsid w:val="00DC1B96"/>
    <w:rsid w:val="00DD18B9"/>
    <w:rsid w:val="00DD2C83"/>
    <w:rsid w:val="00E026DB"/>
    <w:rsid w:val="00E31E49"/>
    <w:rsid w:val="00E3388E"/>
    <w:rsid w:val="00E347CE"/>
    <w:rsid w:val="00E35342"/>
    <w:rsid w:val="00E36707"/>
    <w:rsid w:val="00E36C8F"/>
    <w:rsid w:val="00E429D4"/>
    <w:rsid w:val="00E51827"/>
    <w:rsid w:val="00E5355D"/>
    <w:rsid w:val="00E53C1E"/>
    <w:rsid w:val="00E5497C"/>
    <w:rsid w:val="00E65492"/>
    <w:rsid w:val="00E674F2"/>
    <w:rsid w:val="00E958BE"/>
    <w:rsid w:val="00EA0AE5"/>
    <w:rsid w:val="00EA6036"/>
    <w:rsid w:val="00EB406E"/>
    <w:rsid w:val="00EC4D91"/>
    <w:rsid w:val="00EF4946"/>
    <w:rsid w:val="00F146B9"/>
    <w:rsid w:val="00F20785"/>
    <w:rsid w:val="00F3036A"/>
    <w:rsid w:val="00F3328B"/>
    <w:rsid w:val="00F37482"/>
    <w:rsid w:val="00F45EF5"/>
    <w:rsid w:val="00F46BB2"/>
    <w:rsid w:val="00F5223E"/>
    <w:rsid w:val="00F54DE0"/>
    <w:rsid w:val="00F77021"/>
    <w:rsid w:val="00F82DA6"/>
    <w:rsid w:val="00F90B3E"/>
    <w:rsid w:val="00FA5978"/>
    <w:rsid w:val="00FB0BBC"/>
    <w:rsid w:val="00FB0F10"/>
    <w:rsid w:val="00FD0D4B"/>
    <w:rsid w:val="00FF1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2A424-83A5-4FD8-BA41-9A00E363F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Самый обычный"/>
    <w:qFormat/>
    <w:rsid w:val="002C0B9B"/>
    <w:rPr>
      <w:rFonts w:eastAsia="Times New Roman" w:cs="Times New Roman"/>
      <w:lang w:eastAsia="ru-RU"/>
    </w:rPr>
  </w:style>
  <w:style w:type="paragraph" w:styleId="1">
    <w:name w:val="heading 1"/>
    <w:aliases w:val="Заголовок 111111"/>
    <w:basedOn w:val="a"/>
    <w:next w:val="a"/>
    <w:link w:val="10"/>
    <w:autoRedefine/>
    <w:uiPriority w:val="9"/>
    <w:qFormat/>
    <w:rsid w:val="002C0B9B"/>
    <w:pPr>
      <w:keepNext/>
      <w:keepLines/>
      <w:ind w:firstLine="0"/>
      <w:jc w:val="center"/>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11111 Знак"/>
    <w:basedOn w:val="a0"/>
    <w:link w:val="1"/>
    <w:uiPriority w:val="9"/>
    <w:rsid w:val="002C0B9B"/>
    <w:rPr>
      <w:rFonts w:eastAsia="Times New Roman" w:cs="Times New Roman"/>
      <w:b/>
      <w:bCs/>
      <w:szCs w:val="28"/>
      <w:lang w:eastAsia="ru-RU"/>
    </w:rPr>
  </w:style>
  <w:style w:type="character" w:customStyle="1" w:styleId="33">
    <w:name w:val="Основной текст (33)_"/>
    <w:link w:val="330"/>
    <w:rsid w:val="002C0B9B"/>
    <w:rPr>
      <w:b/>
      <w:bCs/>
      <w:sz w:val="26"/>
      <w:szCs w:val="26"/>
      <w:shd w:val="clear" w:color="auto" w:fill="FFFFFF"/>
    </w:rPr>
  </w:style>
  <w:style w:type="paragraph" w:customStyle="1" w:styleId="330">
    <w:name w:val="Основной текст (33)"/>
    <w:basedOn w:val="a"/>
    <w:link w:val="33"/>
    <w:rsid w:val="002C0B9B"/>
    <w:pPr>
      <w:shd w:val="clear" w:color="auto" w:fill="FFFFFF"/>
      <w:spacing w:before="240" w:after="240" w:line="336" w:lineRule="exact"/>
    </w:pPr>
    <w:rPr>
      <w:rFonts w:eastAsiaTheme="minorHAnsi" w:cstheme="minorBidi"/>
      <w:b/>
      <w:bCs/>
      <w:sz w:val="26"/>
      <w:szCs w:val="26"/>
      <w:lang w:eastAsia="en-US"/>
    </w:rPr>
  </w:style>
  <w:style w:type="paragraph" w:customStyle="1" w:styleId="ConsPlusCell">
    <w:name w:val="ConsPlusCell"/>
    <w:uiPriority w:val="99"/>
    <w:rsid w:val="002C0B9B"/>
    <w:pPr>
      <w:autoSpaceDE w:val="0"/>
      <w:autoSpaceDN w:val="0"/>
      <w:adjustRightInd w:val="0"/>
      <w:ind w:firstLine="0"/>
      <w:jc w:val="left"/>
    </w:pPr>
    <w:rPr>
      <w:rFonts w:eastAsia="Calibri" w:cs="Times New Roman"/>
      <w:szCs w:val="28"/>
      <w:lang w:eastAsia="ru-RU"/>
    </w:rPr>
  </w:style>
  <w:style w:type="character" w:customStyle="1" w:styleId="FontStyle14">
    <w:name w:val="Font Style14"/>
    <w:uiPriority w:val="99"/>
    <w:rsid w:val="002C0B9B"/>
    <w:rPr>
      <w:rFonts w:ascii="Times New Roman" w:hAnsi="Times New Roman" w:cs="Times New Roman" w:hint="default"/>
      <w:sz w:val="24"/>
      <w:szCs w:val="24"/>
    </w:rPr>
  </w:style>
  <w:style w:type="paragraph" w:styleId="a3">
    <w:name w:val="header"/>
    <w:basedOn w:val="a"/>
    <w:link w:val="a4"/>
    <w:uiPriority w:val="99"/>
    <w:unhideWhenUsed/>
    <w:rsid w:val="002C0B9B"/>
    <w:pPr>
      <w:tabs>
        <w:tab w:val="center" w:pos="4677"/>
        <w:tab w:val="right" w:pos="9355"/>
      </w:tabs>
    </w:pPr>
    <w:rPr>
      <w:szCs w:val="20"/>
    </w:rPr>
  </w:style>
  <w:style w:type="character" w:customStyle="1" w:styleId="a4">
    <w:name w:val="Верхний колонтитул Знак"/>
    <w:basedOn w:val="a0"/>
    <w:link w:val="a3"/>
    <w:uiPriority w:val="99"/>
    <w:rsid w:val="002C0B9B"/>
    <w:rPr>
      <w:rFonts w:eastAsia="Times New Roman" w:cs="Times New Roman"/>
      <w:szCs w:val="20"/>
      <w:lang w:eastAsia="ru-RU"/>
    </w:rPr>
  </w:style>
  <w:style w:type="paragraph" w:styleId="a5">
    <w:name w:val="List Paragraph"/>
    <w:basedOn w:val="a"/>
    <w:uiPriority w:val="34"/>
    <w:qFormat/>
    <w:rsid w:val="00237BF1"/>
    <w:pPr>
      <w:ind w:left="720"/>
      <w:contextualSpacing/>
    </w:pPr>
  </w:style>
  <w:style w:type="character" w:styleId="a6">
    <w:name w:val="annotation reference"/>
    <w:basedOn w:val="a0"/>
    <w:uiPriority w:val="99"/>
    <w:semiHidden/>
    <w:unhideWhenUsed/>
    <w:rsid w:val="00240DDF"/>
    <w:rPr>
      <w:sz w:val="16"/>
      <w:szCs w:val="16"/>
    </w:rPr>
  </w:style>
  <w:style w:type="paragraph" w:styleId="a7">
    <w:name w:val="annotation text"/>
    <w:basedOn w:val="a"/>
    <w:link w:val="a8"/>
    <w:uiPriority w:val="99"/>
    <w:semiHidden/>
    <w:unhideWhenUsed/>
    <w:rsid w:val="00240DDF"/>
    <w:rPr>
      <w:sz w:val="20"/>
      <w:szCs w:val="20"/>
    </w:rPr>
  </w:style>
  <w:style w:type="character" w:customStyle="1" w:styleId="a8">
    <w:name w:val="Текст примечания Знак"/>
    <w:basedOn w:val="a0"/>
    <w:link w:val="a7"/>
    <w:uiPriority w:val="99"/>
    <w:semiHidden/>
    <w:rsid w:val="00240DDF"/>
    <w:rPr>
      <w:rFonts w:eastAsia="Times New Roman" w:cs="Times New Roman"/>
      <w:sz w:val="20"/>
      <w:szCs w:val="20"/>
      <w:lang w:eastAsia="ru-RU"/>
    </w:rPr>
  </w:style>
  <w:style w:type="paragraph" w:styleId="a9">
    <w:name w:val="annotation subject"/>
    <w:basedOn w:val="a7"/>
    <w:next w:val="a7"/>
    <w:link w:val="aa"/>
    <w:uiPriority w:val="99"/>
    <w:semiHidden/>
    <w:unhideWhenUsed/>
    <w:rsid w:val="00240DDF"/>
    <w:rPr>
      <w:b/>
      <w:bCs/>
    </w:rPr>
  </w:style>
  <w:style w:type="character" w:customStyle="1" w:styleId="aa">
    <w:name w:val="Тема примечания Знак"/>
    <w:basedOn w:val="a8"/>
    <w:link w:val="a9"/>
    <w:uiPriority w:val="99"/>
    <w:semiHidden/>
    <w:rsid w:val="00240DDF"/>
    <w:rPr>
      <w:rFonts w:eastAsia="Times New Roman" w:cs="Times New Roman"/>
      <w:b/>
      <w:bCs/>
      <w:sz w:val="20"/>
      <w:szCs w:val="20"/>
      <w:lang w:eastAsia="ru-RU"/>
    </w:rPr>
  </w:style>
  <w:style w:type="paragraph" w:styleId="ab">
    <w:name w:val="Balloon Text"/>
    <w:basedOn w:val="a"/>
    <w:link w:val="ac"/>
    <w:uiPriority w:val="99"/>
    <w:semiHidden/>
    <w:unhideWhenUsed/>
    <w:rsid w:val="00240DDF"/>
    <w:rPr>
      <w:rFonts w:ascii="Segoe UI" w:hAnsi="Segoe UI" w:cs="Segoe UI"/>
      <w:sz w:val="18"/>
      <w:szCs w:val="18"/>
    </w:rPr>
  </w:style>
  <w:style w:type="character" w:customStyle="1" w:styleId="ac">
    <w:name w:val="Текст выноски Знак"/>
    <w:basedOn w:val="a0"/>
    <w:link w:val="ab"/>
    <w:uiPriority w:val="99"/>
    <w:semiHidden/>
    <w:rsid w:val="00240DD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95171">
      <w:bodyDiv w:val="1"/>
      <w:marLeft w:val="0"/>
      <w:marRight w:val="0"/>
      <w:marTop w:val="0"/>
      <w:marBottom w:val="0"/>
      <w:divBdr>
        <w:top w:val="none" w:sz="0" w:space="0" w:color="auto"/>
        <w:left w:val="none" w:sz="0" w:space="0" w:color="auto"/>
        <w:bottom w:val="none" w:sz="0" w:space="0" w:color="auto"/>
        <w:right w:val="none" w:sz="0" w:space="0" w:color="auto"/>
      </w:divBdr>
    </w:div>
    <w:div w:id="186069965">
      <w:bodyDiv w:val="1"/>
      <w:marLeft w:val="0"/>
      <w:marRight w:val="0"/>
      <w:marTop w:val="0"/>
      <w:marBottom w:val="0"/>
      <w:divBdr>
        <w:top w:val="none" w:sz="0" w:space="0" w:color="auto"/>
        <w:left w:val="none" w:sz="0" w:space="0" w:color="auto"/>
        <w:bottom w:val="none" w:sz="0" w:space="0" w:color="auto"/>
        <w:right w:val="none" w:sz="0" w:space="0" w:color="auto"/>
      </w:divBdr>
    </w:div>
    <w:div w:id="1045956865">
      <w:bodyDiv w:val="1"/>
      <w:marLeft w:val="0"/>
      <w:marRight w:val="0"/>
      <w:marTop w:val="0"/>
      <w:marBottom w:val="0"/>
      <w:divBdr>
        <w:top w:val="none" w:sz="0" w:space="0" w:color="auto"/>
        <w:left w:val="none" w:sz="0" w:space="0" w:color="auto"/>
        <w:bottom w:val="none" w:sz="0" w:space="0" w:color="auto"/>
        <w:right w:val="none" w:sz="0" w:space="0" w:color="auto"/>
      </w:divBdr>
    </w:div>
    <w:div w:id="1185830711">
      <w:bodyDiv w:val="1"/>
      <w:marLeft w:val="0"/>
      <w:marRight w:val="0"/>
      <w:marTop w:val="0"/>
      <w:marBottom w:val="0"/>
      <w:divBdr>
        <w:top w:val="none" w:sz="0" w:space="0" w:color="auto"/>
        <w:left w:val="none" w:sz="0" w:space="0" w:color="auto"/>
        <w:bottom w:val="none" w:sz="0" w:space="0" w:color="auto"/>
        <w:right w:val="none" w:sz="0" w:space="0" w:color="auto"/>
      </w:divBdr>
    </w:div>
    <w:div w:id="1256943242">
      <w:bodyDiv w:val="1"/>
      <w:marLeft w:val="0"/>
      <w:marRight w:val="0"/>
      <w:marTop w:val="0"/>
      <w:marBottom w:val="0"/>
      <w:divBdr>
        <w:top w:val="none" w:sz="0" w:space="0" w:color="auto"/>
        <w:left w:val="none" w:sz="0" w:space="0" w:color="auto"/>
        <w:bottom w:val="none" w:sz="0" w:space="0" w:color="auto"/>
        <w:right w:val="none" w:sz="0" w:space="0" w:color="auto"/>
      </w:divBdr>
    </w:div>
    <w:div w:id="1369378556">
      <w:bodyDiv w:val="1"/>
      <w:marLeft w:val="0"/>
      <w:marRight w:val="0"/>
      <w:marTop w:val="0"/>
      <w:marBottom w:val="0"/>
      <w:divBdr>
        <w:top w:val="none" w:sz="0" w:space="0" w:color="auto"/>
        <w:left w:val="none" w:sz="0" w:space="0" w:color="auto"/>
        <w:bottom w:val="none" w:sz="0" w:space="0" w:color="auto"/>
        <w:right w:val="none" w:sz="0" w:space="0" w:color="auto"/>
      </w:divBdr>
    </w:div>
    <w:div w:id="1429619993">
      <w:bodyDiv w:val="1"/>
      <w:marLeft w:val="0"/>
      <w:marRight w:val="0"/>
      <w:marTop w:val="0"/>
      <w:marBottom w:val="0"/>
      <w:divBdr>
        <w:top w:val="none" w:sz="0" w:space="0" w:color="auto"/>
        <w:left w:val="none" w:sz="0" w:space="0" w:color="auto"/>
        <w:bottom w:val="none" w:sz="0" w:space="0" w:color="auto"/>
        <w:right w:val="none" w:sz="0" w:space="0" w:color="auto"/>
      </w:divBdr>
    </w:div>
    <w:div w:id="1474179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ashintseva\Desktop\&#1048;&#1058;&#1054;&#1043;%20&#1057;&#1074;&#1086;&#1076;&#1085;&#1099;&#1081;%20&#1086;&#1090;&#1095;&#1077;&#1090;_&#1043;&#1055;%20&#1079;&#1072;%202023%20&#1075;&#1086;&#1076;.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ashintseva\Desktop\&#1048;&#1058;&#1054;&#1043;%20&#1057;&#1074;&#1086;&#1076;&#1085;&#1099;&#1081;%20&#1086;&#1090;&#1095;&#1077;&#1090;_&#1043;&#1055;%20&#1079;&#1072;%202023%20&#1075;&#1086;&#1076;.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tx1"/>
                </a:solidFill>
                <a:latin typeface="Times New Roman" panose="02020603050405020304" pitchFamily="18" charset="0"/>
                <a:ea typeface="+mn-ea"/>
                <a:cs typeface="Times New Roman" pitchFamily="18" charset="0"/>
              </a:defRPr>
            </a:pPr>
            <a:r>
              <a:rPr lang="ru-RU" sz="1400">
                <a:latin typeface="Times New Roman" panose="02020603050405020304" pitchFamily="18" charset="0"/>
                <a:cs typeface="Times New Roman" panose="02020603050405020304" pitchFamily="18" charset="0"/>
              </a:rPr>
              <a:t>Достижение плановых значений показателей государственных программ (К1)</a:t>
            </a:r>
          </a:p>
        </c:rich>
      </c:tx>
      <c:layout>
        <c:manualLayout>
          <c:xMode val="edge"/>
          <c:yMode val="edge"/>
          <c:x val="0.17661424469629319"/>
          <c:y val="2.2622553676610299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solidFill>
              <a:latin typeface="Times New Roman" panose="02020603050405020304" pitchFamily="18" charset="0"/>
              <a:ea typeface="+mn-ea"/>
              <a:cs typeface="Times New Roman" pitchFamily="18" charset="0"/>
            </a:defRPr>
          </a:pPr>
          <a:endParaRPr lang="ru-RU"/>
        </a:p>
      </c:txPr>
    </c:title>
    <c:autoTitleDeleted val="0"/>
    <c:plotArea>
      <c:layout>
        <c:manualLayout>
          <c:layoutTarget val="inner"/>
          <c:xMode val="edge"/>
          <c:yMode val="edge"/>
          <c:x val="5.8669147846897224E-2"/>
          <c:y val="0.1720736438745136"/>
          <c:w val="0.35720681088386597"/>
          <c:h val="0.79489303297790215"/>
        </c:manualLayout>
      </c:layout>
      <c:doughnutChart>
        <c:varyColors val="1"/>
        <c:ser>
          <c:idx val="0"/>
          <c:order val="0"/>
          <c:explosion val="5"/>
          <c:dPt>
            <c:idx val="0"/>
            <c:bubble3D val="0"/>
            <c:spPr>
              <a:solidFill>
                <a:schemeClr val="accent6"/>
              </a:solidFill>
              <a:ln>
                <a:noFill/>
              </a:ln>
              <a:effectLst/>
            </c:spPr>
          </c:dPt>
          <c:dPt>
            <c:idx val="1"/>
            <c:bubble3D val="0"/>
            <c:spPr>
              <a:solidFill>
                <a:schemeClr val="accent5"/>
              </a:solidFill>
              <a:ln>
                <a:noFill/>
              </a:ln>
              <a:effectLst/>
            </c:spPr>
          </c:dPt>
          <c:dPt>
            <c:idx val="2"/>
            <c:bubble3D val="0"/>
            <c:spPr>
              <a:solidFill>
                <a:schemeClr val="accent4"/>
              </a:solidFill>
              <a:ln>
                <a:noFill/>
              </a:ln>
              <a:effectLst/>
            </c:spPr>
          </c:dPt>
          <c:dPt>
            <c:idx val="3"/>
            <c:bubble3D val="0"/>
            <c:spPr>
              <a:solidFill>
                <a:schemeClr val="accent6">
                  <a:lumMod val="60000"/>
                </a:schemeClr>
              </a:solidFill>
              <a:ln>
                <a:noFill/>
              </a:ln>
              <a:effectLst/>
            </c:spPr>
          </c:dPt>
          <c:dPt>
            <c:idx val="4"/>
            <c:bubble3D val="0"/>
            <c:spPr>
              <a:solidFill>
                <a:schemeClr val="accent5">
                  <a:lumMod val="60000"/>
                </a:schemeClr>
              </a:solidFill>
              <a:ln>
                <a:noFill/>
              </a:ln>
              <a:effectLst/>
            </c:spPr>
          </c:dPt>
          <c:dLbls>
            <c:spPr>
              <a:solidFill>
                <a:schemeClr val="bg1"/>
              </a:solidFill>
              <a:ln>
                <a:solidFill>
                  <a:schemeClr val="tx1">
                    <a:lumMod val="65000"/>
                    <a:lumOff val="35000"/>
                  </a:schemeClr>
                </a:solid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Times New Roman" panose="02020603050405020304" pitchFamily="18" charset="0"/>
                    <a:ea typeface="+mn-ea"/>
                    <a:cs typeface="Times New Roman" pitchFamily="18" charset="0"/>
                  </a:defRPr>
                </a:pPr>
                <a:endParaRPr lang="ru-RU"/>
              </a:p>
            </c:txPr>
            <c:showLegendKey val="0"/>
            <c:showVal val="1"/>
            <c:showCatName val="0"/>
            <c:showSerName val="0"/>
            <c:showPercent val="0"/>
            <c:showBubbleSize val="0"/>
            <c:showLeaderLines val="1"/>
            <c:leaderLines>
              <c:spPr>
                <a:ln w="6350" cap="flat" cmpd="sng" algn="ctr">
                  <a:solidFill>
                    <a:schemeClr val="tx1"/>
                  </a:solidFill>
                  <a:prstDash val="solid"/>
                  <a:round/>
                </a:ln>
                <a:effectLst/>
              </c:spPr>
            </c:leaderLines>
            <c:extLst xmlns:c16r2="http://schemas.microsoft.com/office/drawing/2015/06/chart">
              <c:ext xmlns:c15="http://schemas.microsoft.com/office/drawing/2012/chart" uri="{CE6537A1-D6FC-4f65-9D91-7224C49458BB}"/>
            </c:extLst>
          </c:dLbls>
          <c:cat>
            <c:strRef>
              <c:f>'1. Показатели'!$S$4:$W$4</c:f>
              <c:strCache>
                <c:ptCount val="5"/>
                <c:pt idx="0">
                  <c:v>Данные о фактических значениях отсутствуют</c:v>
                </c:pt>
                <c:pt idx="1">
                  <c:v>Значительно перевыполнены (более 150%)</c:v>
                </c:pt>
                <c:pt idx="2">
                  <c:v>Высокая степень (от 99,5 до 150%)</c:v>
                </c:pt>
                <c:pt idx="3">
                  <c:v>Средняя степень (от 85 до 99,5%)</c:v>
                </c:pt>
                <c:pt idx="4">
                  <c:v>Низкая степень (ниже 85%)</c:v>
                </c:pt>
              </c:strCache>
            </c:strRef>
          </c:cat>
          <c:val>
            <c:numRef>
              <c:f>'1. Показатели'!$S$5:$W$5</c:f>
              <c:numCache>
                <c:formatCode>General</c:formatCode>
                <c:ptCount val="5"/>
                <c:pt idx="0">
                  <c:v>38</c:v>
                </c:pt>
                <c:pt idx="1">
                  <c:v>45</c:v>
                </c:pt>
                <c:pt idx="2">
                  <c:v>264</c:v>
                </c:pt>
                <c:pt idx="3">
                  <c:v>31</c:v>
                </c:pt>
                <c:pt idx="4">
                  <c:v>36</c:v>
                </c:pt>
              </c:numCache>
            </c:numRef>
          </c:val>
          <c:extLst xmlns:c16r2="http://schemas.microsoft.com/office/drawing/2015/06/chart">
            <c:ext xmlns:c16="http://schemas.microsoft.com/office/drawing/2014/chart" uri="{C3380CC4-5D6E-409C-BE32-E72D297353CC}">
              <c16:uniqueId val="{00000000-6552-4540-ABEA-F769924531B2}"/>
            </c:ext>
          </c:extLst>
        </c:ser>
        <c:dLbls>
          <c:showLegendKey val="0"/>
          <c:showVal val="1"/>
          <c:showCatName val="0"/>
          <c:showSerName val="0"/>
          <c:showPercent val="0"/>
          <c:showBubbleSize val="0"/>
          <c:showLeaderLines val="1"/>
        </c:dLbls>
        <c:firstSliceAng val="0"/>
        <c:holeSize val="67"/>
      </c:doughnutChart>
      <c:spPr>
        <a:noFill/>
        <a:ln>
          <a:noFill/>
        </a:ln>
        <a:effectLst/>
      </c:spPr>
    </c:plotArea>
    <c:legend>
      <c:legendPos val="r"/>
      <c:layout>
        <c:manualLayout>
          <c:xMode val="edge"/>
          <c:yMode val="edge"/>
          <c:x val="0.46456022992975637"/>
          <c:y val="0.2844460014148516"/>
          <c:w val="0.50169277449988803"/>
          <c:h val="0.58762655787457418"/>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solidFill>
              <a:latin typeface="Times New Roman" panose="02020603050405020304" pitchFamily="18" charset="0"/>
              <a:ea typeface="+mn-ea"/>
              <a:cs typeface="Times New Roman" pitchFamily="18" charset="0"/>
            </a:defRPr>
          </a:pPr>
          <a:endParaRPr lang="ru-RU"/>
        </a:p>
      </c:txPr>
    </c:legend>
    <c:plotVisOnly val="1"/>
    <c:dispBlanksAs val="zero"/>
    <c:showDLblsOverMax val="0"/>
  </c:chart>
  <c:spPr>
    <a:solidFill>
      <a:schemeClr val="bg1"/>
    </a:solidFill>
    <a:ln w="6350" cap="flat" cmpd="sng" algn="ctr">
      <a:noFill/>
      <a:prstDash val="solid"/>
      <a:round/>
    </a:ln>
    <a:effectLst/>
  </c:spPr>
  <c:txPr>
    <a:bodyPr/>
    <a:lstStyle/>
    <a:p>
      <a:pPr>
        <a:defRPr>
          <a:latin typeface="Muller Narrow Light" panose="00000400000000000000" pitchFamily="50" charset="-52"/>
          <a:cs typeface="Times New Roman"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sz="1400">
                <a:latin typeface="Times New Roman" panose="02020603050405020304" pitchFamily="18" charset="0"/>
                <a:cs typeface="Times New Roman" panose="02020603050405020304" pitchFamily="18" charset="0"/>
              </a:rPr>
              <a:t>Динамика значений показателей по сравнению с 2022 годом (К2) </a:t>
            </a:r>
          </a:p>
        </c:rich>
      </c:tx>
      <c:layout>
        <c:manualLayout>
          <c:xMode val="edge"/>
          <c:yMode val="edge"/>
          <c:x val="0.12240376457852523"/>
          <c:y val="3.5276837386353191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5.1421483323092224E-2"/>
          <c:y val="0.26721429154792148"/>
          <c:w val="0.35809339482427388"/>
          <c:h val="0.63443818300872734"/>
        </c:manualLayout>
      </c:layout>
      <c:doughnutChart>
        <c:varyColors val="1"/>
        <c:ser>
          <c:idx val="0"/>
          <c:order val="0"/>
          <c:explosion val="4"/>
          <c:dPt>
            <c:idx val="0"/>
            <c:bubble3D val="0"/>
            <c:spPr>
              <a:solidFill>
                <a:schemeClr val="accent2"/>
              </a:solidFill>
              <a:ln>
                <a:noFill/>
              </a:ln>
              <a:effectLst/>
            </c:spPr>
          </c:dPt>
          <c:dPt>
            <c:idx val="1"/>
            <c:bubble3D val="0"/>
            <c:spPr>
              <a:solidFill>
                <a:schemeClr val="accent4"/>
              </a:solidFill>
              <a:ln>
                <a:noFill/>
              </a:ln>
              <a:effectLst/>
            </c:spPr>
          </c:dPt>
          <c:dPt>
            <c:idx val="2"/>
            <c:bubble3D val="0"/>
            <c:spPr>
              <a:solidFill>
                <a:schemeClr val="accent6"/>
              </a:solidFill>
              <a:ln>
                <a:noFill/>
              </a:ln>
              <a:effectLst/>
            </c:spPr>
          </c:dPt>
          <c:dLbls>
            <c:spPr>
              <a:solidFill>
                <a:schemeClr val="bg1"/>
              </a:solid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1"/>
            <c:leaderLines>
              <c:spPr>
                <a:ln w="6350" cap="flat" cmpd="sng" algn="ctr">
                  <a:solidFill>
                    <a:schemeClr val="tx1"/>
                  </a:solidFill>
                  <a:prstDash val="solid"/>
                  <a:round/>
                </a:ln>
                <a:effectLst/>
              </c:spPr>
            </c:leaderLines>
            <c:extLst xmlns:c16r2="http://schemas.microsoft.com/office/drawing/2015/06/chart">
              <c:ext xmlns:c15="http://schemas.microsoft.com/office/drawing/2012/chart" uri="{CE6537A1-D6FC-4f65-9D91-7224C49458BB}"/>
            </c:extLst>
          </c:dLbls>
          <c:cat>
            <c:strRef>
              <c:f>'1. Показатели'!$Z$4:$AB$4</c:f>
              <c:strCache>
                <c:ptCount val="3"/>
                <c:pt idx="0">
                  <c:v>Положительная динамика (К2≥101%)</c:v>
                </c:pt>
                <c:pt idx="1">
                  <c:v>Значения на уровне 2021 года (К2 от 99 до 101%)</c:v>
                </c:pt>
                <c:pt idx="2">
                  <c:v>Отрицательная динамика (К2 &lt; 99%)</c:v>
                </c:pt>
              </c:strCache>
            </c:strRef>
          </c:cat>
          <c:val>
            <c:numRef>
              <c:f>'1. Показатели'!$Z$5:$AB$5</c:f>
              <c:numCache>
                <c:formatCode>General</c:formatCode>
                <c:ptCount val="3"/>
                <c:pt idx="0">
                  <c:v>121</c:v>
                </c:pt>
                <c:pt idx="1">
                  <c:v>71</c:v>
                </c:pt>
                <c:pt idx="2">
                  <c:v>52</c:v>
                </c:pt>
              </c:numCache>
            </c:numRef>
          </c:val>
          <c:extLst xmlns:c16r2="http://schemas.microsoft.com/office/drawing/2015/06/chart">
            <c:ext xmlns:c16="http://schemas.microsoft.com/office/drawing/2014/chart" uri="{C3380CC4-5D6E-409C-BE32-E72D297353CC}">
              <c16:uniqueId val="{00000000-E6ED-45EB-9C41-051674C916A5}"/>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43217803021419338"/>
          <c:y val="0.41530713273527331"/>
          <c:w val="0.5541568561452126"/>
          <c:h val="0.35068007791406086"/>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solidFill>
      <a:schemeClr val="bg1"/>
    </a:solidFill>
    <a:ln w="6350" cap="flat" cmpd="sng" algn="ctr">
      <a:noFill/>
      <a:prstDash val="solid"/>
      <a:round/>
    </a:ln>
    <a:effectLst/>
  </c:spPr>
  <c:txPr>
    <a:bodyPr/>
    <a:lstStyle/>
    <a:p>
      <a:pPr>
        <a:defRPr>
          <a:latin typeface="Muller Narrow Light" panose="00000400000000000000" pitchFamily="50" charset="-52"/>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doughnutChart>
        <c:varyColors val="1"/>
        <c:ser>
          <c:idx val="0"/>
          <c:order val="0"/>
          <c:tx>
            <c:strRef>
              <c:f>Лист1!$B$1</c:f>
              <c:strCache>
                <c:ptCount val="1"/>
                <c:pt idx="0">
                  <c:v>Выполнение мероприятий государственных программ (К3)</c:v>
                </c:pt>
              </c:strCache>
            </c:strRef>
          </c:tx>
          <c:dPt>
            <c:idx val="0"/>
            <c:bubble3D val="0"/>
            <c:spPr>
              <a:solidFill>
                <a:schemeClr val="accent6"/>
              </a:solidFill>
              <a:ln w="19050">
                <a:solidFill>
                  <a:schemeClr val="lt1"/>
                </a:solidFill>
              </a:ln>
              <a:effectLst/>
            </c:spPr>
          </c:dPt>
          <c:dPt>
            <c:idx val="1"/>
            <c:bubble3D val="0"/>
            <c:spPr>
              <a:solidFill>
                <a:schemeClr val="accent5"/>
              </a:solidFill>
              <a:ln w="19050">
                <a:solidFill>
                  <a:schemeClr val="lt1"/>
                </a:solidFill>
              </a:ln>
              <a:effectLst/>
            </c:spPr>
          </c:dPt>
          <c:dPt>
            <c:idx val="2"/>
            <c:bubble3D val="0"/>
            <c:spPr>
              <a:solidFill>
                <a:schemeClr val="accent4"/>
              </a:solidFill>
              <a:ln w="19050">
                <a:solidFill>
                  <a:schemeClr val="lt1"/>
                </a:solidFill>
              </a:ln>
              <a:effectLst/>
            </c:spPr>
          </c:dPt>
          <c:dLbls>
            <c:dLbl>
              <c:idx val="1"/>
              <c:layout>
                <c:manualLayout>
                  <c:x val="-6.1349693251533744E-3"/>
                  <c:y val="1.2195121951219513E-2"/>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7.4982092219013458E-17"/>
                  <c:y val="-2.0325203252032558E-2"/>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да</c:v>
                </c:pt>
                <c:pt idx="1">
                  <c:v>частично</c:v>
                </c:pt>
                <c:pt idx="2">
                  <c:v>нет</c:v>
                </c:pt>
              </c:strCache>
            </c:strRef>
          </c:cat>
          <c:val>
            <c:numRef>
              <c:f>Лист1!$B$2:$B$4</c:f>
              <c:numCache>
                <c:formatCode>General</c:formatCode>
                <c:ptCount val="3"/>
                <c:pt idx="0">
                  <c:v>842</c:v>
                </c:pt>
                <c:pt idx="1">
                  <c:v>157</c:v>
                </c:pt>
                <c:pt idx="2">
                  <c:v>51</c:v>
                </c:pt>
              </c:numCache>
            </c:numRef>
          </c:val>
        </c:ser>
        <c:dLbls>
          <c:showLegendKey val="0"/>
          <c:showVal val="0"/>
          <c:showCatName val="1"/>
          <c:showSerName val="0"/>
          <c:showPercent val="1"/>
          <c:showBubbleSize val="0"/>
          <c:showLeaderLines val="1"/>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sz="1400">
                <a:latin typeface="Times New Roman" panose="02020603050405020304" pitchFamily="18" charset="0"/>
                <a:cs typeface="Times New Roman" panose="02020603050405020304" pitchFamily="18" charset="0"/>
              </a:rPr>
              <a:t>Информация о ходе работ на объектах капитального строительства</a:t>
            </a:r>
            <a:r>
              <a:rPr lang="ru-RU" sz="1400" baseline="0">
                <a:latin typeface="Times New Roman" panose="02020603050405020304" pitchFamily="18" charset="0"/>
                <a:cs typeface="Times New Roman" panose="02020603050405020304" pitchFamily="18" charset="0"/>
              </a:rPr>
              <a:t> </a:t>
            </a:r>
            <a:r>
              <a:rPr lang="ru-RU" sz="1100" b="0" baseline="0">
                <a:latin typeface="Times New Roman" panose="02020603050405020304" pitchFamily="18" charset="0"/>
                <a:cs typeface="Times New Roman" panose="02020603050405020304" pitchFamily="18" charset="0"/>
              </a:rPr>
              <a:t>(в % от общего количества объектов)</a:t>
            </a:r>
            <a:endParaRPr lang="ru-RU" sz="1100" b="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pieChart>
        <c:varyColors val="1"/>
        <c:ser>
          <c:idx val="0"/>
          <c:order val="0"/>
          <c:tx>
            <c:strRef>
              <c:f>Лист1!$B$1</c:f>
              <c:strCache>
                <c:ptCount val="1"/>
                <c:pt idx="0">
                  <c:v>%</c:v>
                </c:pt>
              </c:strCache>
            </c:strRef>
          </c:tx>
          <c:dPt>
            <c:idx val="0"/>
            <c:bubble3D val="0"/>
            <c:spPr>
              <a:solidFill>
                <a:schemeClr val="accent2"/>
              </a:solidFill>
              <a:ln>
                <a:noFill/>
              </a:ln>
              <a:effectLst/>
            </c:spPr>
          </c:dPt>
          <c:dPt>
            <c:idx val="1"/>
            <c:bubble3D val="0"/>
            <c:spPr>
              <a:solidFill>
                <a:schemeClr val="accent4"/>
              </a:solidFill>
              <a:ln>
                <a:noFill/>
              </a:ln>
              <a:effectLst/>
            </c:spPr>
          </c:dPt>
          <c:dPt>
            <c:idx val="2"/>
            <c:bubble3D val="0"/>
            <c:spPr>
              <a:solidFill>
                <a:schemeClr val="accent6"/>
              </a:solidFill>
              <a:ln>
                <a:noFill/>
              </a:ln>
              <a:effectLst/>
            </c:spPr>
          </c:dPt>
          <c:dPt>
            <c:idx val="3"/>
            <c:bubble3D val="0"/>
            <c:spPr>
              <a:solidFill>
                <a:schemeClr val="accent2">
                  <a:lumMod val="60000"/>
                </a:schemeClr>
              </a:solidFill>
              <a:ln>
                <a:noFill/>
              </a:ln>
              <a:effectLst/>
            </c:spPr>
          </c:dPt>
          <c:dLbls>
            <c:dLbl>
              <c:idx val="0"/>
              <c:tx>
                <c:rich>
                  <a:bodyPr/>
                  <a:lstStyle/>
                  <a:p>
                    <a:r>
                      <a:rPr lang="en-US"/>
                      <a:t>33 %</a:t>
                    </a:r>
                  </a:p>
                </c:rich>
              </c:tx>
              <c:dLblPos val="inEnd"/>
              <c:showLegendKey val="0"/>
              <c:showVal val="1"/>
              <c:showCatName val="0"/>
              <c:showSerName val="0"/>
              <c:showPercent val="0"/>
              <c:showBubbleSize val="0"/>
              <c:extLst>
                <c:ext xmlns:c15="http://schemas.microsoft.com/office/drawing/2012/chart" uri="{CE6537A1-D6FC-4f65-9D91-7224C49458BB}"/>
              </c:extLst>
            </c:dLbl>
            <c:dLbl>
              <c:idx val="1"/>
              <c:layout>
                <c:manualLayout>
                  <c:x val="-6.1863560158428588E-2"/>
                  <c:y val="-0.12095617952631078"/>
                </c:manualLayout>
              </c:layout>
              <c:tx>
                <c:rich>
                  <a:bodyPr/>
                  <a:lstStyle/>
                  <a:p>
                    <a:r>
                      <a:rPr lang="en-US"/>
                      <a:t>17 %</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C38-4D88-9E5D-3E8AFC30BEF1}"/>
                </c:ext>
                <c:ext xmlns:c15="http://schemas.microsoft.com/office/drawing/2012/chart" uri="{CE6537A1-D6FC-4f65-9D91-7224C49458BB}"/>
              </c:extLst>
            </c:dLbl>
            <c:dLbl>
              <c:idx val="2"/>
              <c:layout>
                <c:manualLayout>
                  <c:x val="5.6628093902055379E-2"/>
                  <c:y val="-0.11297667755858712"/>
                </c:manualLayout>
              </c:layout>
              <c:tx>
                <c:rich>
                  <a:bodyPr/>
                  <a:lstStyle/>
                  <a:p>
                    <a:r>
                      <a:rPr lang="en-US"/>
                      <a:t>13 %</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C38-4D88-9E5D-3E8AFC30BEF1}"/>
                </c:ext>
                <c:ext xmlns:c15="http://schemas.microsoft.com/office/drawing/2012/chart" uri="{CE6537A1-D6FC-4f65-9D91-7224C49458BB}"/>
              </c:extLst>
            </c:dLbl>
            <c:dLbl>
              <c:idx val="3"/>
              <c:layout>
                <c:manualLayout>
                  <c:x val="0.11022484258433222"/>
                  <c:y val="1.3866132369601252E-2"/>
                </c:manualLayout>
              </c:layout>
              <c:tx>
                <c:rich>
                  <a:bodyPr/>
                  <a:lstStyle/>
                  <a:p>
                    <a:r>
                      <a:rPr lang="en-US"/>
                      <a:t>37 %</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C38-4D88-9E5D-3E8AFC30BEF1}"/>
                </c:ext>
                <c:ext xmlns:c15="http://schemas.microsoft.com/office/drawing/2012/chart" uri="{CE6537A1-D6FC-4f65-9D91-7224C49458BB}"/>
              </c:extLst>
            </c:dLbl>
            <c:numFmt formatCode="General" sourceLinked="0"/>
            <c:spPr>
              <a:noFill/>
              <a:ln w="25386">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extLst>
          </c:dLbls>
          <c:cat>
            <c:strRef>
              <c:f>Лист1!$A$2:$A$5</c:f>
              <c:strCache>
                <c:ptCount val="4"/>
                <c:pt idx="0">
                  <c:v>Работы выполнялись с отставанием от графика </c:v>
                </c:pt>
                <c:pt idx="1">
                  <c:v>Работы приостановлены или не проводились </c:v>
                </c:pt>
                <c:pt idx="2">
                  <c:v>Работы завершены и/или получено разрешение на ввод в эксплуатацию </c:v>
                </c:pt>
                <c:pt idx="3">
                  <c:v>Работы выполнялись в соответствии с графиком </c:v>
                </c:pt>
              </c:strCache>
            </c:strRef>
          </c:cat>
          <c:val>
            <c:numRef>
              <c:f>Лист1!$B$2:$B$5</c:f>
              <c:numCache>
                <c:formatCode>General</c:formatCode>
                <c:ptCount val="4"/>
                <c:pt idx="0">
                  <c:v>33</c:v>
                </c:pt>
                <c:pt idx="1">
                  <c:v>17</c:v>
                </c:pt>
                <c:pt idx="2">
                  <c:v>13</c:v>
                </c:pt>
                <c:pt idx="3">
                  <c:v>37</c:v>
                </c:pt>
              </c:numCache>
            </c:numRef>
          </c:val>
          <c:extLst xmlns:c16r2="http://schemas.microsoft.com/office/drawing/2015/06/chart">
            <c:ext xmlns:c16="http://schemas.microsoft.com/office/drawing/2014/chart" uri="{C3380CC4-5D6E-409C-BE32-E72D297353CC}">
              <c16:uniqueId val="{00000004-9C38-4D88-9E5D-3E8AFC30BEF1}"/>
            </c:ext>
          </c:extLst>
        </c:ser>
        <c:dLbls>
          <c:showLegendKey val="0"/>
          <c:showVal val="0"/>
          <c:showCatName val="0"/>
          <c:showSerName val="0"/>
          <c:showPercent val="0"/>
          <c:showBubbleSize val="0"/>
          <c:showLeaderLines val="0"/>
        </c:dLbls>
        <c:firstSliceAng val="0"/>
      </c:pieChart>
      <c:spPr>
        <a:noFill/>
        <a:ln w="25386">
          <a:noFill/>
        </a:ln>
        <a:effectLst/>
      </c:spPr>
    </c:plotArea>
    <c:legend>
      <c:legendPos val="r"/>
      <c:layout>
        <c:manualLayout>
          <c:xMode val="edge"/>
          <c:yMode val="edge"/>
          <c:x val="0.50426492574504134"/>
          <c:y val="0.27816343426870299"/>
          <c:w val="0.4872165188212233"/>
          <c:h val="0.6165896880339623"/>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solidFill>
      <a:schemeClr val="bg1"/>
    </a:solidFill>
    <a:ln w="6350" cap="flat" cmpd="sng" algn="ctr">
      <a:noFill/>
      <a:prstDash val="solid"/>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solidFill>
                  <a:sysClr val="windowText" lastClr="000000"/>
                </a:solidFill>
                <a:latin typeface="Times New Roman" panose="02020603050405020304" pitchFamily="18" charset="0"/>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Исполнение государственных программ по источникам финансирования</a:t>
            </a:r>
          </a:p>
        </c:rich>
      </c:tx>
      <c:layout>
        <c:manualLayout>
          <c:xMode val="edge"/>
          <c:yMode val="edge"/>
          <c:x val="0.20495506302790911"/>
          <c:y val="5.7620583657548775E-2"/>
        </c:manualLayout>
      </c:layout>
      <c:overlay val="0"/>
    </c:title>
    <c:autoTitleDeleted val="0"/>
    <c:plotArea>
      <c:layout>
        <c:manualLayout>
          <c:layoutTarget val="inner"/>
          <c:xMode val="edge"/>
          <c:yMode val="edge"/>
          <c:x val="4.8392880285008863E-2"/>
          <c:y val="0.17544354627511921"/>
          <c:w val="0.92613711948326349"/>
          <c:h val="0.62787233615274085"/>
        </c:manualLayout>
      </c:layout>
      <c:barChart>
        <c:barDir val="col"/>
        <c:grouping val="stacked"/>
        <c:varyColors val="0"/>
        <c:ser>
          <c:idx val="0"/>
          <c:order val="0"/>
          <c:tx>
            <c:strRef>
              <c:f>Лист1!$B$1</c:f>
              <c:strCache>
                <c:ptCount val="1"/>
                <c:pt idx="0">
                  <c:v>ОБ</c:v>
                </c:pt>
              </c:strCache>
            </c:strRef>
          </c:tx>
          <c:spPr>
            <a:solidFill>
              <a:schemeClr val="accent4">
                <a:lumMod val="60000"/>
                <a:lumOff val="40000"/>
              </a:schemeClr>
            </a:solidFill>
            <a:ln>
              <a:solidFill>
                <a:sysClr val="window" lastClr="FFFFFF">
                  <a:lumMod val="65000"/>
                </a:sysClr>
              </a:solidFill>
            </a:ln>
          </c:spPr>
          <c:invertIfNegative val="0"/>
          <c:dLbls>
            <c:dLbl>
              <c:idx val="0"/>
              <c:tx>
                <c:rich>
                  <a:bodyPr/>
                  <a:lstStyle/>
                  <a:p>
                    <a:r>
                      <a:rPr lang="ru-RU"/>
                      <a:t>ОБ 13</a:t>
                    </a:r>
                    <a:r>
                      <a:rPr lang="ru-RU" baseline="0"/>
                      <a:t> 280,1</a:t>
                    </a:r>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E68-4A86-AD3A-80B3AC6D517F}"/>
                </c:ext>
                <c:ext xmlns:c15="http://schemas.microsoft.com/office/drawing/2012/chart" uri="{CE6537A1-D6FC-4f65-9D91-7224C49458BB}"/>
              </c:extLst>
            </c:dLbl>
            <c:dLbl>
              <c:idx val="1"/>
              <c:tx>
                <c:rich>
                  <a:bodyPr/>
                  <a:lstStyle/>
                  <a:p>
                    <a:r>
                      <a:rPr lang="ru-RU"/>
                      <a:t>ОБ 18 198,1</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E68-4A86-AD3A-80B3AC6D517F}"/>
                </c:ext>
                <c:ext xmlns:c15="http://schemas.microsoft.com/office/drawing/2012/chart" uri="{CE6537A1-D6FC-4f65-9D91-7224C49458BB}"/>
              </c:extLst>
            </c:dLbl>
            <c:dLbl>
              <c:idx val="2"/>
              <c:tx>
                <c:rich>
                  <a:bodyPr/>
                  <a:lstStyle/>
                  <a:p>
                    <a:r>
                      <a:rPr lang="ru-RU"/>
                      <a:t>ОБ 12 586,7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E68-4A86-AD3A-80B3AC6D517F}"/>
                </c:ext>
                <c:ext xmlns:c15="http://schemas.microsoft.com/office/drawing/2012/chart" uri="{CE6537A1-D6FC-4f65-9D91-7224C49458BB}"/>
              </c:extLst>
            </c:dLbl>
            <c:dLbl>
              <c:idx val="3"/>
              <c:tx>
                <c:rich>
                  <a:bodyPr/>
                  <a:lstStyle/>
                  <a:p>
                    <a:r>
                      <a:rPr lang="ru-RU"/>
                      <a:t>ОБ 5 805,8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2E68-4A86-AD3A-80B3AC6D517F}"/>
                </c:ext>
                <c:ext xmlns:c15="http://schemas.microsoft.com/office/drawing/2012/chart" uri="{CE6537A1-D6FC-4f65-9D91-7224C49458BB}"/>
              </c:extLst>
            </c:dLbl>
            <c:dLbl>
              <c:idx val="4"/>
              <c:tx>
                <c:rich>
                  <a:bodyPr/>
                  <a:lstStyle/>
                  <a:p>
                    <a:r>
                      <a:rPr lang="ru-RU"/>
                      <a:t>ОБ 5 561,8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E68-4A86-AD3A-80B3AC6D517F}"/>
                </c:ext>
                <c:ext xmlns:c15="http://schemas.microsoft.com/office/drawing/2012/chart" uri="{CE6537A1-D6FC-4f65-9D91-7224C49458BB}"/>
              </c:extLst>
            </c:dLbl>
            <c:dLbl>
              <c:idx val="5"/>
              <c:tx>
                <c:rich>
                  <a:bodyPr/>
                  <a:lstStyle/>
                  <a:p>
                    <a:r>
                      <a:rPr lang="ru-RU"/>
                      <a:t>ОБ </a:t>
                    </a:r>
                    <a:fld id="{1BBA039D-F6DB-4D40-A3DA-9DF9340C4B34}"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2E68-4A86-AD3A-80B3AC6D517F}"/>
                </c:ext>
                <c:ext xmlns:c15="http://schemas.microsoft.com/office/drawing/2012/chart" uri="{CE6537A1-D6FC-4f65-9D91-7224C49458BB}">
                  <c15:dlblFieldTable/>
                  <c15:showDataLabelsRange val="0"/>
                </c:ext>
              </c:extLst>
            </c:dLbl>
            <c:spPr>
              <a:noFill/>
              <a:ln>
                <a:noFill/>
              </a:ln>
              <a:effectLst/>
            </c:spPr>
            <c:txPr>
              <a:bodyPr wrap="square" lIns="38100" tIns="19050" rIns="38100" bIns="19050" anchor="ctr">
                <a:spAutoFit/>
              </a:bodyPr>
              <a:lstStyle/>
              <a:p>
                <a:pPr>
                  <a:defRPr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Здравоохранение</c:v>
                </c:pt>
                <c:pt idx="1">
                  <c:v>Образование и наука</c:v>
                </c:pt>
                <c:pt idx="2">
                  <c:v>Социальная поддержка</c:v>
                </c:pt>
                <c:pt idx="3">
                  <c:v>Финансы</c:v>
                </c:pt>
                <c:pt idx="4">
                  <c:v>Комфортное жилье и городская среда</c:v>
                </c:pt>
                <c:pt idx="5">
                  <c:v>Транспортная система</c:v>
                </c:pt>
              </c:strCache>
            </c:strRef>
          </c:cat>
          <c:val>
            <c:numRef>
              <c:f>Лист1!$B$2:$B$7</c:f>
              <c:numCache>
                <c:formatCode>#,##0.0</c:formatCode>
                <c:ptCount val="6"/>
                <c:pt idx="0">
                  <c:v>18534.400000000001</c:v>
                </c:pt>
                <c:pt idx="1">
                  <c:v>23393.200000000001</c:v>
                </c:pt>
                <c:pt idx="2">
                  <c:v>17950.3</c:v>
                </c:pt>
                <c:pt idx="3">
                  <c:v>8905.4</c:v>
                </c:pt>
                <c:pt idx="4">
                  <c:v>14507.6</c:v>
                </c:pt>
                <c:pt idx="5">
                  <c:v>10340.700000000001</c:v>
                </c:pt>
              </c:numCache>
            </c:numRef>
          </c:val>
          <c:extLst xmlns:c16r2="http://schemas.microsoft.com/office/drawing/2015/06/chart">
            <c:ext xmlns:c16="http://schemas.microsoft.com/office/drawing/2014/chart" uri="{C3380CC4-5D6E-409C-BE32-E72D297353CC}">
              <c16:uniqueId val="{00000006-2E68-4A86-AD3A-80B3AC6D517F}"/>
            </c:ext>
          </c:extLst>
        </c:ser>
        <c:ser>
          <c:idx val="1"/>
          <c:order val="1"/>
          <c:tx>
            <c:strRef>
              <c:f>Лист1!$C$1</c:f>
              <c:strCache>
                <c:ptCount val="1"/>
                <c:pt idx="0">
                  <c:v>ФБ</c:v>
                </c:pt>
              </c:strCache>
            </c:strRef>
          </c:tx>
          <c:spPr>
            <a:solidFill>
              <a:srgbClr val="92D050"/>
            </a:solidFill>
            <a:ln>
              <a:solidFill>
                <a:sysClr val="window" lastClr="FFFFFF">
                  <a:lumMod val="65000"/>
                </a:sysClr>
              </a:solidFill>
            </a:ln>
          </c:spPr>
          <c:invertIfNegative val="0"/>
          <c:dLbls>
            <c:dLbl>
              <c:idx val="0"/>
              <c:tx>
                <c:rich>
                  <a:bodyPr/>
                  <a:lstStyle/>
                  <a:p>
                    <a:r>
                      <a:rPr lang="ru-RU"/>
                      <a:t>ФБ 1 027,5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2E68-4A86-AD3A-80B3AC6D517F}"/>
                </c:ext>
                <c:ext xmlns:c15="http://schemas.microsoft.com/office/drawing/2012/chart" uri="{CE6537A1-D6FC-4f65-9D91-7224C49458BB}"/>
              </c:extLst>
            </c:dLbl>
            <c:dLbl>
              <c:idx val="1"/>
              <c:layout>
                <c:manualLayout>
                  <c:x val="-5.9610927535942932E-3"/>
                  <c:y val="-1.7071848521787588E-4"/>
                </c:manualLayout>
              </c:layout>
              <c:tx>
                <c:rich>
                  <a:bodyPr/>
                  <a:lstStyle/>
                  <a:p>
                    <a:r>
                      <a:rPr lang="ru-RU"/>
                      <a:t>ФБ 1 450,1</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2E68-4A86-AD3A-80B3AC6D517F}"/>
                </c:ext>
                <c:ext xmlns:c15="http://schemas.microsoft.com/office/drawing/2012/chart" uri="{CE6537A1-D6FC-4f65-9D91-7224C49458BB}"/>
              </c:extLst>
            </c:dLbl>
            <c:dLbl>
              <c:idx val="2"/>
              <c:layout>
                <c:manualLayout>
                  <c:x val="-5.9599195410861994E-3"/>
                  <c:y val="2.5358184354000194E-3"/>
                </c:manualLayout>
              </c:layout>
              <c:tx>
                <c:rich>
                  <a:bodyPr/>
                  <a:lstStyle/>
                  <a:p>
                    <a:r>
                      <a:rPr lang="ru-RU"/>
                      <a:t>ФБ 3 777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2E68-4A86-AD3A-80B3AC6D517F}"/>
                </c:ext>
                <c:ext xmlns:c15="http://schemas.microsoft.com/office/drawing/2012/chart" uri="{CE6537A1-D6FC-4f65-9D91-7224C49458BB}"/>
              </c:extLst>
            </c:dLbl>
            <c:dLbl>
              <c:idx val="3"/>
              <c:layout>
                <c:manualLayout>
                  <c:x val="-2.9799597705431002E-3"/>
                  <c:y val="-1.7071848521787588E-4"/>
                </c:manualLayout>
              </c:layout>
              <c:tx>
                <c:rich>
                  <a:bodyPr/>
                  <a:lstStyle/>
                  <a:p>
                    <a:r>
                      <a:rPr lang="ru-RU"/>
                      <a:t>ФБ 1 554,4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2E68-4A86-AD3A-80B3AC6D517F}"/>
                </c:ext>
                <c:ext xmlns:c15="http://schemas.microsoft.com/office/drawing/2012/chart" uri="{CE6537A1-D6FC-4f65-9D91-7224C49458BB}"/>
              </c:extLst>
            </c:dLbl>
            <c:dLbl>
              <c:idx val="4"/>
              <c:layout>
                <c:manualLayout>
                  <c:x val="-7.4498994263578668E-3"/>
                  <c:y val="0"/>
                </c:manualLayout>
              </c:layout>
              <c:tx>
                <c:rich>
                  <a:bodyPr/>
                  <a:lstStyle/>
                  <a:p>
                    <a:r>
                      <a:rPr lang="ru-RU"/>
                      <a:t>ФБ 579,5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2E68-4A86-AD3A-80B3AC6D517F}"/>
                </c:ext>
                <c:ext xmlns:c15="http://schemas.microsoft.com/office/drawing/2012/chart" uri="{CE6537A1-D6FC-4f65-9D91-7224C49458BB}"/>
              </c:extLst>
            </c:dLbl>
            <c:dLbl>
              <c:idx val="5"/>
              <c:layout>
                <c:manualLayout>
                  <c:x val="-4.4699472806862999E-3"/>
                  <c:y val="6.8719624450108631E-4"/>
                </c:manualLayout>
              </c:layout>
              <c:tx>
                <c:rich>
                  <a:bodyPr/>
                  <a:lstStyle/>
                  <a:p>
                    <a:r>
                      <a:rPr lang="ru-RU"/>
                      <a:t>ФБ </a:t>
                    </a:r>
                    <a:fld id="{5033047C-5F4B-4683-A417-49C057A00559}"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2E68-4A86-AD3A-80B3AC6D517F}"/>
                </c:ext>
                <c:ext xmlns:c15="http://schemas.microsoft.com/office/drawing/2012/chart" uri="{CE6537A1-D6FC-4f65-9D91-7224C49458BB}">
                  <c15:dlblFieldTable/>
                  <c15:showDataLabelsRange val="0"/>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Здравоохранение</c:v>
                </c:pt>
                <c:pt idx="1">
                  <c:v>Образование и наука</c:v>
                </c:pt>
                <c:pt idx="2">
                  <c:v>Социальная поддержка</c:v>
                </c:pt>
                <c:pt idx="3">
                  <c:v>Финансы</c:v>
                </c:pt>
                <c:pt idx="4">
                  <c:v>Комфортное жилье и городская среда</c:v>
                </c:pt>
                <c:pt idx="5">
                  <c:v>Транспортная система</c:v>
                </c:pt>
              </c:strCache>
            </c:strRef>
          </c:cat>
          <c:val>
            <c:numRef>
              <c:f>Лист1!$C$2:$C$7</c:f>
              <c:numCache>
                <c:formatCode>#,##0.0</c:formatCode>
                <c:ptCount val="6"/>
                <c:pt idx="0">
                  <c:v>1424.6</c:v>
                </c:pt>
                <c:pt idx="1">
                  <c:v>1705.5</c:v>
                </c:pt>
                <c:pt idx="2">
                  <c:v>3434.9</c:v>
                </c:pt>
                <c:pt idx="3">
                  <c:v>1590</c:v>
                </c:pt>
                <c:pt idx="4">
                  <c:v>5315.1</c:v>
                </c:pt>
                <c:pt idx="5">
                  <c:v>1271.4000000000001</c:v>
                </c:pt>
              </c:numCache>
            </c:numRef>
          </c:val>
          <c:extLst xmlns:c16r2="http://schemas.microsoft.com/office/drawing/2015/06/chart">
            <c:ext xmlns:c16="http://schemas.microsoft.com/office/drawing/2014/chart" uri="{C3380CC4-5D6E-409C-BE32-E72D297353CC}">
              <c16:uniqueId val="{0000000D-2E68-4A86-AD3A-80B3AC6D517F}"/>
            </c:ext>
          </c:extLst>
        </c:ser>
        <c:ser>
          <c:idx val="2"/>
          <c:order val="2"/>
          <c:tx>
            <c:strRef>
              <c:f>Лист1!$D$1</c:f>
              <c:strCache>
                <c:ptCount val="1"/>
                <c:pt idx="0">
                  <c:v>МБ</c:v>
                </c:pt>
              </c:strCache>
            </c:strRef>
          </c:tx>
          <c:spPr>
            <a:solidFill>
              <a:srgbClr val="00B0F0"/>
            </a:solidFill>
            <a:ln>
              <a:solidFill>
                <a:sysClr val="window" lastClr="FFFFFF">
                  <a:lumMod val="65000"/>
                </a:sysClr>
              </a:solidFill>
            </a:ln>
          </c:spPr>
          <c:invertIfNegative val="0"/>
          <c:cat>
            <c:strRef>
              <c:f>Лист1!$A$2:$A$7</c:f>
              <c:strCache>
                <c:ptCount val="6"/>
                <c:pt idx="0">
                  <c:v>Здравоохранение</c:v>
                </c:pt>
                <c:pt idx="1">
                  <c:v>Образование и наука</c:v>
                </c:pt>
                <c:pt idx="2">
                  <c:v>Социальная поддержка</c:v>
                </c:pt>
                <c:pt idx="3">
                  <c:v>Финансы</c:v>
                </c:pt>
                <c:pt idx="4">
                  <c:v>Комфортное жилье и городская среда</c:v>
                </c:pt>
                <c:pt idx="5">
                  <c:v>Транспортная система</c:v>
                </c:pt>
              </c:strCache>
            </c:strRef>
          </c:cat>
          <c:val>
            <c:numRef>
              <c:f>Лист1!$D$2:$D$7</c:f>
              <c:numCache>
                <c:formatCode>#,##0.0</c:formatCode>
                <c:ptCount val="6"/>
                <c:pt idx="1">
                  <c:v>111.8</c:v>
                </c:pt>
                <c:pt idx="4">
                  <c:v>651.70000000000005</c:v>
                </c:pt>
                <c:pt idx="5">
                  <c:v>70</c:v>
                </c:pt>
              </c:numCache>
            </c:numRef>
          </c:val>
          <c:extLst xmlns:c16r2="http://schemas.microsoft.com/office/drawing/2015/06/chart">
            <c:ext xmlns:c16="http://schemas.microsoft.com/office/drawing/2014/chart" uri="{C3380CC4-5D6E-409C-BE32-E72D297353CC}">
              <c16:uniqueId val="{0000000E-2E68-4A86-AD3A-80B3AC6D517F}"/>
            </c:ext>
          </c:extLst>
        </c:ser>
        <c:ser>
          <c:idx val="3"/>
          <c:order val="3"/>
          <c:tx>
            <c:strRef>
              <c:f>Лист1!$E$1</c:f>
              <c:strCache>
                <c:ptCount val="1"/>
                <c:pt idx="0">
                  <c:v>ВБС</c:v>
                </c:pt>
              </c:strCache>
            </c:strRef>
          </c:tx>
          <c:spPr>
            <a:solidFill>
              <a:srgbClr val="FFC000"/>
            </a:solidFill>
            <a:ln>
              <a:solidFill>
                <a:schemeClr val="bg1">
                  <a:lumMod val="65000"/>
                </a:schemeClr>
              </a:solidFill>
            </a:ln>
          </c:spPr>
          <c:invertIfNegative val="0"/>
          <c:dLbls>
            <c:dLbl>
              <c:idx val="0"/>
              <c:layout>
                <c:manualLayout>
                  <c:x val="0"/>
                  <c:y val="4.310891340180048E-2"/>
                </c:manualLayout>
              </c:layout>
              <c:tx>
                <c:rich>
                  <a:bodyPr/>
                  <a:lstStyle/>
                  <a:p>
                    <a:r>
                      <a:rPr lang="ru-RU"/>
                      <a:t>ВБС 17 546,2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2E68-4A86-AD3A-80B3AC6D517F}"/>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10-2E68-4A86-AD3A-80B3AC6D517F}"/>
                </c:ext>
                <c:ext xmlns:c15="http://schemas.microsoft.com/office/drawing/2012/chart" uri="{CE6537A1-D6FC-4f65-9D91-7224C49458BB}"/>
              </c:extLst>
            </c:dLbl>
            <c:dLbl>
              <c:idx val="2"/>
              <c:layout>
                <c:manualLayout>
                  <c:x val="8.9409352028865727E-3"/>
                  <c:y val="-1.8311404493989433E-2"/>
                </c:manualLayout>
              </c:layout>
              <c:tx>
                <c:rich>
                  <a:bodyPr/>
                  <a:lstStyle/>
                  <a:p>
                    <a:r>
                      <a:rPr lang="ru-RU"/>
                      <a:t>ВБС 347,2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2E68-4A86-AD3A-80B3AC6D517F}"/>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12-2E68-4A86-AD3A-80B3AC6D517F}"/>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13-2E68-4A86-AD3A-80B3AC6D517F}"/>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14-2E68-4A86-AD3A-80B3AC6D517F}"/>
                </c:ex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Здравоохранение</c:v>
                </c:pt>
                <c:pt idx="1">
                  <c:v>Образование и наука</c:v>
                </c:pt>
                <c:pt idx="2">
                  <c:v>Социальная поддержка</c:v>
                </c:pt>
                <c:pt idx="3">
                  <c:v>Финансы</c:v>
                </c:pt>
                <c:pt idx="4">
                  <c:v>Комфортное жилье и городская среда</c:v>
                </c:pt>
                <c:pt idx="5">
                  <c:v>Транспортная система</c:v>
                </c:pt>
              </c:strCache>
            </c:strRef>
          </c:cat>
          <c:val>
            <c:numRef>
              <c:f>Лист1!$E$2:$E$7</c:f>
              <c:numCache>
                <c:formatCode>General</c:formatCode>
                <c:ptCount val="6"/>
                <c:pt idx="0" formatCode="#,##0.0">
                  <c:v>21168.2</c:v>
                </c:pt>
                <c:pt idx="2" formatCode="#,##0.0">
                  <c:v>133.69999999999999</c:v>
                </c:pt>
                <c:pt idx="4" formatCode="#,##0.0">
                  <c:v>204.3</c:v>
                </c:pt>
              </c:numCache>
            </c:numRef>
          </c:val>
          <c:extLst xmlns:c16r2="http://schemas.microsoft.com/office/drawing/2015/06/chart">
            <c:ext xmlns:c16="http://schemas.microsoft.com/office/drawing/2014/chart" uri="{C3380CC4-5D6E-409C-BE32-E72D297353CC}">
              <c16:uniqueId val="{00000015-2E68-4A86-AD3A-80B3AC6D517F}"/>
            </c:ext>
          </c:extLst>
        </c:ser>
        <c:dLbls>
          <c:showLegendKey val="0"/>
          <c:showVal val="0"/>
          <c:showCatName val="0"/>
          <c:showSerName val="0"/>
          <c:showPercent val="0"/>
          <c:showBubbleSize val="0"/>
        </c:dLbls>
        <c:gapWidth val="55"/>
        <c:overlap val="100"/>
        <c:axId val="425980160"/>
        <c:axId val="425980552"/>
      </c:barChart>
      <c:lineChart>
        <c:grouping val="standard"/>
        <c:varyColors val="0"/>
        <c:ser>
          <c:idx val="4"/>
          <c:order val="4"/>
          <c:tx>
            <c:strRef>
              <c:f>Лист1!$F$1</c:f>
              <c:strCache>
                <c:ptCount val="1"/>
                <c:pt idx="0">
                  <c:v>План</c:v>
                </c:pt>
              </c:strCache>
            </c:strRef>
          </c:tx>
          <c:marker>
            <c:symbol val="none"/>
          </c:marker>
          <c:cat>
            <c:strRef>
              <c:f>Лист1!$A$2:$A$7</c:f>
              <c:strCache>
                <c:ptCount val="6"/>
                <c:pt idx="0">
                  <c:v>Здравоохранение</c:v>
                </c:pt>
                <c:pt idx="1">
                  <c:v>Образование и наука</c:v>
                </c:pt>
                <c:pt idx="2">
                  <c:v>Социальная поддержка</c:v>
                </c:pt>
                <c:pt idx="3">
                  <c:v>Финансы</c:v>
                </c:pt>
                <c:pt idx="4">
                  <c:v>Комфортное жилье и городская среда</c:v>
                </c:pt>
                <c:pt idx="5">
                  <c:v>Транспортная система</c:v>
                </c:pt>
              </c:strCache>
            </c:strRef>
          </c:cat>
          <c:val>
            <c:numRef>
              <c:f>Лист1!$F$2:$F$7</c:f>
              <c:numCache>
                <c:formatCode>#,##0.0</c:formatCode>
                <c:ptCount val="6"/>
                <c:pt idx="0">
                  <c:v>41622.300000000003</c:v>
                </c:pt>
                <c:pt idx="1">
                  <c:v>26704</c:v>
                </c:pt>
                <c:pt idx="2">
                  <c:v>21944.400000000001</c:v>
                </c:pt>
                <c:pt idx="3">
                  <c:v>10715.8</c:v>
                </c:pt>
                <c:pt idx="4">
                  <c:v>23423.9</c:v>
                </c:pt>
                <c:pt idx="5">
                  <c:v>12603.2</c:v>
                </c:pt>
              </c:numCache>
            </c:numRef>
          </c:val>
          <c:smooth val="0"/>
          <c:extLst xmlns:c16r2="http://schemas.microsoft.com/office/drawing/2015/06/chart">
            <c:ext xmlns:c16="http://schemas.microsoft.com/office/drawing/2014/chart" uri="{C3380CC4-5D6E-409C-BE32-E72D297353CC}">
              <c16:uniqueId val="{00000016-2E68-4A86-AD3A-80B3AC6D517F}"/>
            </c:ext>
          </c:extLst>
        </c:ser>
        <c:ser>
          <c:idx val="5"/>
          <c:order val="5"/>
          <c:tx>
            <c:strRef>
              <c:f>Лист1!$G$1</c:f>
              <c:strCache>
                <c:ptCount val="1"/>
                <c:pt idx="0">
                  <c:v>Всего расходов</c:v>
                </c:pt>
              </c:strCache>
            </c:strRef>
          </c:tx>
          <c:spPr>
            <a:ln>
              <a:solidFill>
                <a:srgbClr val="FF0000"/>
              </a:solidFill>
            </a:ln>
          </c:spPr>
          <c:marker>
            <c:spPr>
              <a:solidFill>
                <a:srgbClr val="FF0000"/>
              </a:solidFill>
            </c:spPr>
          </c:marker>
          <c:dLbls>
            <c:dLbl>
              <c:idx val="0"/>
              <c:layout>
                <c:manualLayout>
                  <c:x val="-3.873701329502488E-2"/>
                  <c:y val="-3.57348951900578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2E68-4A86-AD3A-80B3AC6D517F}"/>
                </c:ext>
                <c:ext xmlns:c15="http://schemas.microsoft.com/office/drawing/2012/chart" uri="{CE6537A1-D6FC-4f65-9D91-7224C49458BB}"/>
              </c:extLst>
            </c:dLbl>
            <c:dLbl>
              <c:idx val="1"/>
              <c:layout>
                <c:manualLayout>
                  <c:x val="-2.9254800981202651E-2"/>
                  <c:y val="-5.24784204670897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8-2E68-4A86-AD3A-80B3AC6D517F}"/>
                </c:ext>
                <c:ext xmlns:c15="http://schemas.microsoft.com/office/drawing/2012/chart" uri="{CE6537A1-D6FC-4f65-9D91-7224C49458BB}"/>
              </c:extLst>
            </c:dLbl>
            <c:dLbl>
              <c:idx val="2"/>
              <c:layout>
                <c:manualLayout>
                  <c:x val="-3.8852480789298927E-2"/>
                  <c:y val="-5.525033639127894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9-2E68-4A86-AD3A-80B3AC6D517F}"/>
                </c:ext>
                <c:ext xmlns:c15="http://schemas.microsoft.com/office/drawing/2012/chart" uri="{CE6537A1-D6FC-4f65-9D91-7224C49458BB}"/>
              </c:extLst>
            </c:dLbl>
            <c:dLbl>
              <c:idx val="3"/>
              <c:layout>
                <c:manualLayout>
                  <c:x val="-3.724586017301372E-2"/>
                  <c:y val="-5.995753003297572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A-2E68-4A86-AD3A-80B3AC6D517F}"/>
                </c:ext>
                <c:ext xmlns:c15="http://schemas.microsoft.com/office/drawing/2012/chart" uri="{CE6537A1-D6FC-4f65-9D91-7224C49458BB}"/>
              </c:extLst>
            </c:dLbl>
            <c:dLbl>
              <c:idx val="4"/>
              <c:layout>
                <c:manualLayout>
                  <c:x val="-5.8109215525590487E-2"/>
                  <c:y val="-8.351128988298296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B-2E68-4A86-AD3A-80B3AC6D517F}"/>
                </c:ext>
                <c:ext xmlns:c15="http://schemas.microsoft.com/office/drawing/2012/chart" uri="{CE6537A1-D6FC-4f65-9D91-7224C49458BB}"/>
              </c:extLst>
            </c:dLbl>
            <c:dLbl>
              <c:idx val="5"/>
              <c:layout>
                <c:manualLayout>
                  <c:x val="-2.4651388455961178E-2"/>
                  <c:y val="-4.51702498055878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C-2E68-4A86-AD3A-80B3AC6D517F}"/>
                </c:ext>
                <c:ext xmlns:c15="http://schemas.microsoft.com/office/drawing/2012/chart" uri="{CE6537A1-D6FC-4f65-9D91-7224C49458BB}"/>
              </c:extLst>
            </c:dLbl>
            <c:spPr>
              <a:noFill/>
              <a:ln>
                <a:noFill/>
              </a:ln>
              <a:effectLst/>
            </c:spPr>
            <c:txPr>
              <a:bodyPr/>
              <a:lstStyle/>
              <a:p>
                <a:pPr>
                  <a:defRPr b="1">
                    <a:solidFill>
                      <a:srgbClr val="FF0000"/>
                    </a:solidFill>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Здравоохранение</c:v>
                </c:pt>
                <c:pt idx="1">
                  <c:v>Образование и наука</c:v>
                </c:pt>
                <c:pt idx="2">
                  <c:v>Социальная поддержка</c:v>
                </c:pt>
                <c:pt idx="3">
                  <c:v>Финансы</c:v>
                </c:pt>
                <c:pt idx="4">
                  <c:v>Комфортное жилье и городская среда</c:v>
                </c:pt>
                <c:pt idx="5">
                  <c:v>Транспортная система</c:v>
                </c:pt>
              </c:strCache>
            </c:strRef>
          </c:cat>
          <c:val>
            <c:numRef>
              <c:f>Лист1!$G$2:$G$7</c:f>
              <c:numCache>
                <c:formatCode>#,##0.0</c:formatCode>
                <c:ptCount val="6"/>
                <c:pt idx="0">
                  <c:v>41127.199999999997</c:v>
                </c:pt>
                <c:pt idx="1">
                  <c:v>25210.5</c:v>
                </c:pt>
                <c:pt idx="2">
                  <c:v>21518.799999999999</c:v>
                </c:pt>
                <c:pt idx="3">
                  <c:v>10495.4</c:v>
                </c:pt>
                <c:pt idx="4">
                  <c:v>20678.7</c:v>
                </c:pt>
                <c:pt idx="5">
                  <c:v>11682.1</c:v>
                </c:pt>
              </c:numCache>
            </c:numRef>
          </c:val>
          <c:smooth val="0"/>
          <c:extLst xmlns:c16r2="http://schemas.microsoft.com/office/drawing/2015/06/chart">
            <c:ext xmlns:c16="http://schemas.microsoft.com/office/drawing/2014/chart" uri="{C3380CC4-5D6E-409C-BE32-E72D297353CC}">
              <c16:uniqueId val="{0000001D-2E68-4A86-AD3A-80B3AC6D517F}"/>
            </c:ext>
          </c:extLst>
        </c:ser>
        <c:dLbls>
          <c:showLegendKey val="0"/>
          <c:showVal val="0"/>
          <c:showCatName val="0"/>
          <c:showSerName val="0"/>
          <c:showPercent val="0"/>
          <c:showBubbleSize val="0"/>
        </c:dLbls>
        <c:marker val="1"/>
        <c:smooth val="0"/>
        <c:axId val="425980160"/>
        <c:axId val="425980552"/>
      </c:lineChart>
      <c:lineChart>
        <c:grouping val="stacked"/>
        <c:varyColors val="0"/>
        <c:ser>
          <c:idx val="6"/>
          <c:order val="6"/>
          <c:tx>
            <c:strRef>
              <c:f>Лист1!$H$1</c:f>
              <c:strCache>
                <c:ptCount val="1"/>
                <c:pt idx="0">
                  <c:v>Степень освоения средств, %</c:v>
                </c:pt>
              </c:strCache>
            </c:strRef>
          </c:tx>
          <c:spPr>
            <a:ln>
              <a:noFill/>
            </a:ln>
          </c:spPr>
          <c:marker>
            <c:symbol val="diamond"/>
            <c:size val="6"/>
            <c:spPr>
              <a:solidFill>
                <a:srgbClr val="0070C0"/>
              </a:solidFill>
            </c:spPr>
          </c:marker>
          <c:dLbls>
            <c:dLbl>
              <c:idx val="0"/>
              <c:layout>
                <c:manualLayout>
                  <c:x val="4.6850529226015424E-2"/>
                  <c:y val="-8.346335859612417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E-2E68-4A86-AD3A-80B3AC6D517F}"/>
                </c:ext>
                <c:ext xmlns:c15="http://schemas.microsoft.com/office/drawing/2012/chart" uri="{CE6537A1-D6FC-4f65-9D91-7224C49458BB}"/>
              </c:extLst>
            </c:dLbl>
            <c:dLbl>
              <c:idx val="1"/>
              <c:layout>
                <c:manualLayout>
                  <c:x val="-1.3409818967443993E-2"/>
                  <c:y val="-7.8610371497400827E-2"/>
                </c:manualLayout>
              </c:layout>
              <c:tx>
                <c:rich>
                  <a:bodyPr/>
                  <a:lstStyle/>
                  <a:p>
                    <a:r>
                      <a:rPr lang="en-US"/>
                      <a:t>94,4%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F-2E68-4A86-AD3A-80B3AC6D517F}"/>
                </c:ext>
                <c:ext xmlns:c15="http://schemas.microsoft.com/office/drawing/2012/chart" uri="{CE6537A1-D6FC-4f65-9D91-7224C49458BB}"/>
              </c:extLst>
            </c:dLbl>
            <c:dLbl>
              <c:idx val="2"/>
              <c:layout>
                <c:manualLayout>
                  <c:x val="-2.9141718730941815E-2"/>
                  <c:y val="-1.79634237597972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3A0-48F4-890C-64943588BE98}"/>
                </c:ext>
                <c:ext xmlns:c15="http://schemas.microsoft.com/office/drawing/2012/chart" uri="{CE6537A1-D6FC-4f65-9D91-7224C49458BB}"/>
              </c:extLst>
            </c:dLbl>
            <c:dLbl>
              <c:idx val="3"/>
              <c:layout>
                <c:manualLayout>
                  <c:x val="-2.7990946914768285E-2"/>
                  <c:y val="-2.049919689009607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3A0-48F4-890C-64943588BE98}"/>
                </c:ext>
                <c:ext xmlns:c15="http://schemas.microsoft.com/office/drawing/2012/chart" uri="{CE6537A1-D6FC-4f65-9D91-7224C49458BB}"/>
              </c:extLst>
            </c:dLbl>
            <c:dLbl>
              <c:idx val="4"/>
              <c:layout>
                <c:manualLayout>
                  <c:x val="-1.1262038028378983E-2"/>
                  <c:y val="-9.501933764362979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3A0-48F4-890C-64943588BE98}"/>
                </c:ext>
                <c:ext xmlns:c15="http://schemas.microsoft.com/office/drawing/2012/chart" uri="{CE6537A1-D6FC-4f65-9D91-7224C49458BB}"/>
              </c:extLst>
            </c:dLbl>
            <c:dLbl>
              <c:idx val="5"/>
              <c:layout>
                <c:manualLayout>
                  <c:x val="-2.4784853700516453E-2"/>
                  <c:y val="-2.20042619631441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FB4-421C-B782-34BB1C465000}"/>
                </c:ext>
                <c:ext xmlns:c15="http://schemas.microsoft.com/office/drawing/2012/chart" uri="{CE6537A1-D6FC-4f65-9D91-7224C49458BB}"/>
              </c:extLst>
            </c:dLbl>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Лист1!$A$2:$A$7</c:f>
              <c:strCache>
                <c:ptCount val="6"/>
                <c:pt idx="0">
                  <c:v>Здравоохранение</c:v>
                </c:pt>
                <c:pt idx="1">
                  <c:v>Образование и наука</c:v>
                </c:pt>
                <c:pt idx="2">
                  <c:v>Социальная поддержка</c:v>
                </c:pt>
                <c:pt idx="3">
                  <c:v>Финансы</c:v>
                </c:pt>
                <c:pt idx="4">
                  <c:v>Комфортное жилье и городская среда</c:v>
                </c:pt>
                <c:pt idx="5">
                  <c:v>Транспортная система</c:v>
                </c:pt>
              </c:strCache>
            </c:strRef>
          </c:cat>
          <c:val>
            <c:numRef>
              <c:f>Лист1!$H$2:$H$7</c:f>
              <c:numCache>
                <c:formatCode>0.0%</c:formatCode>
                <c:ptCount val="6"/>
                <c:pt idx="0">
                  <c:v>0.988104655153207</c:v>
                </c:pt>
                <c:pt idx="1">
                  <c:v>0.94407416934235477</c:v>
                </c:pt>
                <c:pt idx="2">
                  <c:v>0.98060737861177893</c:v>
                </c:pt>
                <c:pt idx="3">
                  <c:v>0.97943201721183293</c:v>
                </c:pt>
                <c:pt idx="4">
                  <c:v>0.88280354107361714</c:v>
                </c:pt>
                <c:pt idx="5">
                  <c:v>0.92691521341613581</c:v>
                </c:pt>
              </c:numCache>
            </c:numRef>
          </c:val>
          <c:smooth val="0"/>
          <c:extLst xmlns:c16r2="http://schemas.microsoft.com/office/drawing/2015/06/chart">
            <c:ext xmlns:c16="http://schemas.microsoft.com/office/drawing/2014/chart" uri="{C3380CC4-5D6E-409C-BE32-E72D297353CC}">
              <c16:uniqueId val="{00000020-2E68-4A86-AD3A-80B3AC6D517F}"/>
            </c:ext>
          </c:extLst>
        </c:ser>
        <c:dLbls>
          <c:showLegendKey val="0"/>
          <c:showVal val="0"/>
          <c:showCatName val="0"/>
          <c:showSerName val="0"/>
          <c:showPercent val="0"/>
          <c:showBubbleSize val="0"/>
        </c:dLbls>
        <c:marker val="1"/>
        <c:smooth val="0"/>
        <c:axId val="425972320"/>
        <c:axId val="431730176"/>
      </c:lineChart>
      <c:catAx>
        <c:axId val="425980160"/>
        <c:scaling>
          <c:orientation val="minMax"/>
        </c:scaling>
        <c:delete val="0"/>
        <c:axPos val="b"/>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425980552"/>
        <c:crosses val="autoZero"/>
        <c:auto val="1"/>
        <c:lblAlgn val="ctr"/>
        <c:lblOffset val="100"/>
        <c:noMultiLvlLbl val="0"/>
      </c:catAx>
      <c:valAx>
        <c:axId val="425980552"/>
        <c:scaling>
          <c:orientation val="minMax"/>
          <c:max val="45000"/>
        </c:scaling>
        <c:delete val="0"/>
        <c:axPos val="l"/>
        <c:title>
          <c:tx>
            <c:rich>
              <a:bodyPr/>
              <a:lstStyle/>
              <a:p>
                <a:pPr>
                  <a:defRPr sz="1000" b="1" i="0" u="none" strike="noStrike" baseline="0">
                    <a:solidFill>
                      <a:srgbClr val="000000"/>
                    </a:solidFill>
                    <a:latin typeface="Times New Roman" panose="02020603050405020304" pitchFamily="18" charset="0"/>
                    <a:ea typeface="Calibri"/>
                    <a:cs typeface="Times New Roman" panose="02020603050405020304" pitchFamily="18" charset="0"/>
                  </a:defRPr>
                </a:pPr>
                <a:r>
                  <a:rPr lang="ru-RU">
                    <a:latin typeface="Times New Roman" panose="02020603050405020304" pitchFamily="18" charset="0"/>
                    <a:cs typeface="Times New Roman" panose="02020603050405020304" pitchFamily="18" charset="0"/>
                  </a:rPr>
                  <a:t>Млн.рублей</a:t>
                </a:r>
              </a:p>
            </c:rich>
          </c:tx>
          <c:layout>
            <c:manualLayout>
              <c:xMode val="edge"/>
              <c:yMode val="edge"/>
              <c:x val="2.4296529198910378E-2"/>
              <c:y val="0.42286649387504627"/>
            </c:manualLayout>
          </c:layout>
          <c:overlay val="0"/>
        </c:title>
        <c:numFmt formatCode="#,##0.0" sourceLinked="1"/>
        <c:majorTickMark val="none"/>
        <c:minorTickMark val="none"/>
        <c:tickLblPos val="none"/>
        <c:crossAx val="425980160"/>
        <c:crosses val="autoZero"/>
        <c:crossBetween val="between"/>
      </c:valAx>
      <c:catAx>
        <c:axId val="425972320"/>
        <c:scaling>
          <c:orientation val="minMax"/>
        </c:scaling>
        <c:delete val="1"/>
        <c:axPos val="b"/>
        <c:numFmt formatCode="General" sourceLinked="1"/>
        <c:majorTickMark val="out"/>
        <c:minorTickMark val="none"/>
        <c:tickLblPos val="none"/>
        <c:crossAx val="431730176"/>
        <c:crosses val="autoZero"/>
        <c:auto val="1"/>
        <c:lblAlgn val="ctr"/>
        <c:lblOffset val="100"/>
        <c:noMultiLvlLbl val="0"/>
      </c:catAx>
      <c:valAx>
        <c:axId val="431730176"/>
        <c:scaling>
          <c:orientation val="minMax"/>
          <c:min val="0.70000000000000062"/>
        </c:scaling>
        <c:delete val="0"/>
        <c:axPos val="r"/>
        <c:numFmt formatCode="0.0%" sourceLinked="1"/>
        <c:majorTickMark val="none"/>
        <c:minorTickMark val="none"/>
        <c:tickLblPos val="none"/>
        <c:crossAx val="425972320"/>
        <c:crosses val="max"/>
        <c:crossBetween val="between"/>
      </c:valAx>
    </c:plotArea>
    <c:legend>
      <c:legendPos val="b"/>
      <c:layout>
        <c:manualLayout>
          <c:xMode val="edge"/>
          <c:yMode val="edge"/>
          <c:x val="6.5398620189464447E-3"/>
          <c:y val="0.91452079994424873"/>
          <c:w val="0.98256028868418621"/>
          <c:h val="7.1039509441850779E-2"/>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zero"/>
    <c:showDLblsOverMax val="0"/>
  </c:chart>
  <c:spPr>
    <a:ln>
      <a:noFill/>
    </a:ln>
  </c:spPr>
  <c:txPr>
    <a:bodyPr/>
    <a:lstStyle/>
    <a:p>
      <a:pPr>
        <a:defRPr sz="1000">
          <a:latin typeface="+mn-lt"/>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Исполнение</a:t>
            </a:r>
            <a:r>
              <a:rPr lang="ru-RU" sz="1200" baseline="0">
                <a:latin typeface="Times New Roman" pitchFamily="18" charset="0"/>
                <a:cs typeface="Times New Roman" pitchFamily="18" charset="0"/>
              </a:rPr>
              <a:t> государственных программ по источникам финансирования</a:t>
            </a:r>
            <a:endParaRPr lang="ru-RU" sz="1200">
              <a:latin typeface="Times New Roman" pitchFamily="18" charset="0"/>
              <a:cs typeface="Times New Roman" pitchFamily="18" charset="0"/>
            </a:endParaRPr>
          </a:p>
        </c:rich>
      </c:tx>
      <c:overlay val="0"/>
    </c:title>
    <c:autoTitleDeleted val="0"/>
    <c:plotArea>
      <c:layout>
        <c:manualLayout>
          <c:layoutTarget val="inner"/>
          <c:xMode val="edge"/>
          <c:yMode val="edge"/>
          <c:x val="5.5435765494762312E-2"/>
          <c:y val="7.28593653066094E-2"/>
          <c:w val="0.92613711948326349"/>
          <c:h val="0.66696463851109533"/>
        </c:manualLayout>
      </c:layout>
      <c:barChart>
        <c:barDir val="col"/>
        <c:grouping val="stacked"/>
        <c:varyColors val="0"/>
        <c:ser>
          <c:idx val="0"/>
          <c:order val="0"/>
          <c:tx>
            <c:strRef>
              <c:f>Лист1!$B$1</c:f>
              <c:strCache>
                <c:ptCount val="1"/>
                <c:pt idx="0">
                  <c:v>ОБ</c:v>
                </c:pt>
              </c:strCache>
            </c:strRef>
          </c:tx>
          <c:spPr>
            <a:solidFill>
              <a:schemeClr val="accent4">
                <a:lumMod val="60000"/>
                <a:lumOff val="40000"/>
              </a:schemeClr>
            </a:solidFill>
            <a:ln>
              <a:solidFill>
                <a:sysClr val="window" lastClr="FFFFFF">
                  <a:lumMod val="65000"/>
                </a:sysClr>
              </a:solidFill>
            </a:ln>
          </c:spPr>
          <c:invertIfNegative val="0"/>
          <c:dLbls>
            <c:dLbl>
              <c:idx val="0"/>
              <c:tx>
                <c:rich>
                  <a:bodyPr/>
                  <a:lstStyle/>
                  <a:p>
                    <a:r>
                      <a:rPr lang="ru-RU"/>
                      <a:t>ОБ </a:t>
                    </a:r>
                    <a:fld id="{C713F1C9-3CDF-4A7E-97D1-4454B5CA23FC}"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ED8C-42DB-9694-2EF62056825D}"/>
                </c:ext>
                <c:ext xmlns:c15="http://schemas.microsoft.com/office/drawing/2012/chart" uri="{CE6537A1-D6FC-4f65-9D91-7224C49458BB}">
                  <c15:dlblFieldTable/>
                  <c15:showDataLabelsRange val="0"/>
                </c:ext>
              </c:extLst>
            </c:dLbl>
            <c:dLbl>
              <c:idx val="1"/>
              <c:tx>
                <c:rich>
                  <a:bodyPr/>
                  <a:lstStyle/>
                  <a:p>
                    <a:r>
                      <a:rPr lang="ru-RU"/>
                      <a:t>ОБ </a:t>
                    </a:r>
                    <a:fld id="{6E588F75-10C0-40E9-9FE2-75A90107CC1E}"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ED8C-42DB-9694-2EF62056825D}"/>
                </c:ext>
                <c:ext xmlns:c15="http://schemas.microsoft.com/office/drawing/2012/chart" uri="{CE6537A1-D6FC-4f65-9D91-7224C49458BB}">
                  <c15:dlblFieldTable/>
                  <c15:showDataLabelsRange val="0"/>
                </c:ext>
              </c:extLst>
            </c:dLbl>
            <c:dLbl>
              <c:idx val="2"/>
              <c:tx>
                <c:rich>
                  <a:bodyPr/>
                  <a:lstStyle/>
                  <a:p>
                    <a:r>
                      <a:rPr lang="ru-RU"/>
                      <a:t>ОБ </a:t>
                    </a:r>
                    <a:fld id="{61264AFC-F423-4021-8F5C-FD64D9F918E6}"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ED8C-42DB-9694-2EF62056825D}"/>
                </c:ext>
                <c:ext xmlns:c15="http://schemas.microsoft.com/office/drawing/2012/chart" uri="{CE6537A1-D6FC-4f65-9D91-7224C49458BB}">
                  <c15:dlblFieldTable/>
                  <c15:showDataLabelsRange val="0"/>
                </c:ext>
              </c:extLst>
            </c:dLbl>
            <c:dLbl>
              <c:idx val="3"/>
              <c:tx>
                <c:rich>
                  <a:bodyPr/>
                  <a:lstStyle/>
                  <a:p>
                    <a:r>
                      <a:rPr lang="ru-RU"/>
                      <a:t>ОБ </a:t>
                    </a:r>
                    <a:fld id="{31C57124-C448-4640-9BBC-9372CF9B780E}"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ED8C-42DB-9694-2EF62056825D}"/>
                </c:ext>
                <c:ext xmlns:c15="http://schemas.microsoft.com/office/drawing/2012/chart" uri="{CE6537A1-D6FC-4f65-9D91-7224C49458BB}">
                  <c15:dlblFieldTable/>
                  <c15:showDataLabelsRange val="0"/>
                </c:ext>
              </c:extLst>
            </c:dLbl>
            <c:dLbl>
              <c:idx val="4"/>
              <c:tx>
                <c:rich>
                  <a:bodyPr/>
                  <a:lstStyle/>
                  <a:p>
                    <a:r>
                      <a:rPr lang="ru-RU"/>
                      <a:t>ОБ </a:t>
                    </a:r>
                    <a:fld id="{7A53A34C-3E1C-454B-8F91-D9E3AF9597D4}"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ED8C-42DB-9694-2EF62056825D}"/>
                </c:ext>
                <c:ext xmlns:c15="http://schemas.microsoft.com/office/drawing/2012/chart" uri="{CE6537A1-D6FC-4f65-9D91-7224C49458BB}">
                  <c15:dlblFieldTable/>
                  <c15:showDataLabelsRange val="0"/>
                </c:ext>
              </c:extLst>
            </c:dLbl>
            <c:dLbl>
              <c:idx val="5"/>
              <c:tx>
                <c:rich>
                  <a:bodyPr/>
                  <a:lstStyle/>
                  <a:p>
                    <a:r>
                      <a:rPr lang="ru-RU"/>
                      <a:t>ОБ </a:t>
                    </a:r>
                    <a:fld id="{9C362204-6239-4DE8-B1B7-1BBFA07BED25}"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ED8C-42DB-9694-2EF62056825D}"/>
                </c:ext>
                <c:ext xmlns:c15="http://schemas.microsoft.com/office/drawing/2012/chart" uri="{CE6537A1-D6FC-4f65-9D91-7224C49458BB}">
                  <c15:dlblFieldTable/>
                  <c15:showDataLabelsRange val="0"/>
                </c:ext>
              </c:extLst>
            </c:dLbl>
            <c:dLbl>
              <c:idx val="6"/>
              <c:tx>
                <c:rich>
                  <a:bodyPr/>
                  <a:lstStyle/>
                  <a:p>
                    <a:r>
                      <a:rPr lang="ru-RU"/>
                      <a:t>ОБ </a:t>
                    </a:r>
                    <a:fld id="{35206D56-A134-450F-9648-A606BD61490F}"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ED8C-42DB-9694-2EF62056825D}"/>
                </c:ext>
                <c:ext xmlns:c15="http://schemas.microsoft.com/office/drawing/2012/chart" uri="{CE6537A1-D6FC-4f65-9D91-7224C49458BB}">
                  <c15:dlblFieldTable/>
                  <c15:showDataLabelsRange val="0"/>
                </c:ext>
              </c:extLst>
            </c:dLbl>
            <c:dLbl>
              <c:idx val="7"/>
              <c:tx>
                <c:rich>
                  <a:bodyPr/>
                  <a:lstStyle/>
                  <a:p>
                    <a:r>
                      <a:rPr lang="ru-RU"/>
                      <a:t>ОБ </a:t>
                    </a:r>
                    <a:fld id="{776356A0-B830-4A33-93A0-AC25DF3D7959}"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ED8C-42DB-9694-2EF62056825D}"/>
                </c:ext>
                <c:ext xmlns:c15="http://schemas.microsoft.com/office/drawing/2012/chart" uri="{CE6537A1-D6FC-4f65-9D91-7224C49458BB}">
                  <c15:dlblFieldTable/>
                  <c15:showDataLabelsRange val="0"/>
                </c:ext>
              </c:extLst>
            </c:dLbl>
            <c:dLbl>
              <c:idx val="8"/>
              <c:tx>
                <c:rich>
                  <a:bodyPr/>
                  <a:lstStyle/>
                  <a:p>
                    <a:r>
                      <a:rPr lang="ru-RU"/>
                      <a:t>ОБ </a:t>
                    </a:r>
                    <a:fld id="{DE254E7A-D71B-4427-82FD-C85619567E68}"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ED8C-42DB-9694-2EF62056825D}"/>
                </c:ext>
                <c:ext xmlns:c15="http://schemas.microsoft.com/office/drawing/2012/chart" uri="{CE6537A1-D6FC-4f65-9D91-7224C49458BB}">
                  <c15:dlblFieldTable/>
                  <c15:showDataLabelsRange val="0"/>
                </c:ext>
              </c:extLst>
            </c:dLbl>
            <c:dLbl>
              <c:idx val="9"/>
              <c:tx>
                <c:rich>
                  <a:bodyPr/>
                  <a:lstStyle/>
                  <a:p>
                    <a:r>
                      <a:rPr lang="ru-RU"/>
                      <a:t>ОБ </a:t>
                    </a:r>
                    <a:fld id="{326CE847-CE9B-4B98-8964-CCB9A3BFE904}"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ED8C-42DB-9694-2EF62056825D}"/>
                </c:ext>
                <c:ext xmlns:c15="http://schemas.microsoft.com/office/drawing/2012/chart" uri="{CE6537A1-D6FC-4f65-9D91-7224C49458BB}">
                  <c15:dlblFieldTable/>
                  <c15:showDataLabelsRange val="0"/>
                </c:ext>
              </c:extLst>
            </c:dLbl>
            <c:spPr>
              <a:noFill/>
              <a:ln>
                <a:noFill/>
              </a:ln>
              <a:effectLst/>
            </c:spPr>
            <c:txPr>
              <a:bodyPr wrap="square" lIns="38100" tIns="19050" rIns="38100" bIns="19050" anchor="ctr">
                <a:spAutoFit/>
              </a:bodyPr>
              <a:lstStyle/>
              <a:p>
                <a:pPr>
                  <a:defRPr sz="8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Лист1!$A$2:$A$10</c:f>
              <c:strCache>
                <c:ptCount val="9"/>
                <c:pt idx="0">
                  <c:v>Физическая культура и спорт</c:v>
                </c:pt>
                <c:pt idx="1">
                  <c:v>Культура</c:v>
                </c:pt>
                <c:pt idx="2">
                  <c:v>Общественная безопасность</c:v>
                </c:pt>
                <c:pt idx="3">
                  <c:v>Занятость и труд</c:v>
                </c:pt>
                <c:pt idx="4">
                  <c:v>Государственное управление и гражданское общество</c:v>
                </c:pt>
                <c:pt idx="5">
                  <c:v>Экономический потенциал</c:v>
                </c:pt>
                <c:pt idx="6">
                  <c:v>Рыбное и сельское хозяйство</c:v>
                </c:pt>
                <c:pt idx="7">
                  <c:v>Природные ресурсы и экология</c:v>
                </c:pt>
                <c:pt idx="8">
                  <c:v>Информационное общество</c:v>
                </c:pt>
              </c:strCache>
            </c:strRef>
          </c:cat>
          <c:val>
            <c:numRef>
              <c:f>Лист1!$B$2:$B$10</c:f>
              <c:numCache>
                <c:formatCode>#,##0.0</c:formatCode>
                <c:ptCount val="9"/>
                <c:pt idx="0">
                  <c:v>1600.9</c:v>
                </c:pt>
                <c:pt idx="1">
                  <c:v>2362.9</c:v>
                </c:pt>
                <c:pt idx="2">
                  <c:v>2090.5</c:v>
                </c:pt>
                <c:pt idx="3">
                  <c:v>635.79999999999995</c:v>
                </c:pt>
                <c:pt idx="4">
                  <c:v>2654.5</c:v>
                </c:pt>
                <c:pt idx="5">
                  <c:v>647.1</c:v>
                </c:pt>
                <c:pt idx="6">
                  <c:v>1162</c:v>
                </c:pt>
                <c:pt idx="7">
                  <c:v>661.3</c:v>
                </c:pt>
                <c:pt idx="8">
                  <c:v>1884</c:v>
                </c:pt>
              </c:numCache>
            </c:numRef>
          </c:val>
          <c:extLst xmlns:c16r2="http://schemas.microsoft.com/office/drawing/2015/06/chart">
            <c:ext xmlns:c16="http://schemas.microsoft.com/office/drawing/2014/chart" uri="{C3380CC4-5D6E-409C-BE32-E72D297353CC}">
              <c16:uniqueId val="{0000000A-ED8C-42DB-9694-2EF62056825D}"/>
            </c:ext>
          </c:extLst>
        </c:ser>
        <c:ser>
          <c:idx val="1"/>
          <c:order val="1"/>
          <c:tx>
            <c:strRef>
              <c:f>Лист1!$C$1</c:f>
              <c:strCache>
                <c:ptCount val="1"/>
                <c:pt idx="0">
                  <c:v>ФБ</c:v>
                </c:pt>
              </c:strCache>
            </c:strRef>
          </c:tx>
          <c:spPr>
            <a:solidFill>
              <a:srgbClr val="92D050"/>
            </a:solidFill>
            <a:ln>
              <a:solidFill>
                <a:sysClr val="window" lastClr="FFFFFF">
                  <a:lumMod val="65000"/>
                </a:sysClr>
              </a:solidFill>
            </a:ln>
          </c:spPr>
          <c:invertIfNegative val="0"/>
          <c:dLbls>
            <c:dLbl>
              <c:idx val="0"/>
              <c:tx>
                <c:rich>
                  <a:bodyPr/>
                  <a:lstStyle/>
                  <a:p>
                    <a:r>
                      <a:rPr lang="ru-RU"/>
                      <a:t>ФБ </a:t>
                    </a:r>
                    <a:fld id="{BC008BEA-AB7F-4566-83FD-ABAC1F8D79DD}"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ED8C-42DB-9694-2EF62056825D}"/>
                </c:ext>
                <c:ext xmlns:c15="http://schemas.microsoft.com/office/drawing/2012/chart" uri="{CE6537A1-D6FC-4f65-9D91-7224C49458BB}">
                  <c15:dlblFieldTable/>
                  <c15:showDataLabelsRange val="0"/>
                </c:ext>
              </c:extLst>
            </c:dLbl>
            <c:dLbl>
              <c:idx val="1"/>
              <c:layout>
                <c:manualLayout>
                  <c:x val="2.7303842695872052E-3"/>
                  <c:y val="6.5983480006175247E-3"/>
                </c:manualLayout>
              </c:layout>
              <c:tx>
                <c:rich>
                  <a:bodyPr/>
                  <a:lstStyle/>
                  <a:p>
                    <a:r>
                      <a:rPr lang="ru-RU"/>
                      <a:t>ФБ </a:t>
                    </a:r>
                    <a:fld id="{AE599CD5-16BE-4413-AB86-FAB5CE1AE7AA}"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ED8C-42DB-9694-2EF62056825D}"/>
                </c:ext>
                <c:ext xmlns:c15="http://schemas.microsoft.com/office/drawing/2012/chart" uri="{CE6537A1-D6FC-4f65-9D91-7224C49458BB}">
                  <c15:dlblFieldTable/>
                  <c15:showDataLabelsRange val="0"/>
                </c:ext>
              </c:extLst>
            </c:dLbl>
            <c:dLbl>
              <c:idx val="2"/>
              <c:delete val="1"/>
              <c:extLst xmlns:c16r2="http://schemas.microsoft.com/office/drawing/2015/06/chart">
                <c:ext xmlns:c16="http://schemas.microsoft.com/office/drawing/2014/chart" uri="{C3380CC4-5D6E-409C-BE32-E72D297353CC}">
                  <c16:uniqueId val="{0000000D-ED8C-42DB-9694-2EF62056825D}"/>
                </c:ext>
                <c:ext xmlns:c15="http://schemas.microsoft.com/office/drawing/2012/chart" uri="{CE6537A1-D6FC-4f65-9D91-7224C49458BB}"/>
              </c:extLst>
            </c:dLbl>
            <c:dLbl>
              <c:idx val="3"/>
              <c:layout>
                <c:manualLayout>
                  <c:x val="1.3651877133105323E-3"/>
                  <c:y val="7.101432122144557E-3"/>
                </c:manualLayout>
              </c:layout>
              <c:tx>
                <c:rich>
                  <a:bodyPr/>
                  <a:lstStyle/>
                  <a:p>
                    <a:r>
                      <a:rPr lang="ru-RU"/>
                      <a:t>ФБ </a:t>
                    </a:r>
                    <a:fld id="{DBB90E90-2F0B-4267-8CE1-0F20691FC2E2}"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ED8C-42DB-9694-2EF62056825D}"/>
                </c:ext>
                <c:ext xmlns:c15="http://schemas.microsoft.com/office/drawing/2012/chart" uri="{CE6537A1-D6FC-4f65-9D91-7224C49458BB}">
                  <c15:dlblFieldTable/>
                  <c15:showDataLabelsRange val="0"/>
                </c:ext>
              </c:extLst>
            </c:dLbl>
            <c:dLbl>
              <c:idx val="4"/>
              <c:tx>
                <c:rich>
                  <a:bodyPr/>
                  <a:lstStyle/>
                  <a:p>
                    <a:r>
                      <a:rPr lang="ru-RU"/>
                      <a:t>ФБ </a:t>
                    </a:r>
                    <a:fld id="{0A596FD6-2D65-4804-84A1-CF6E74AF882F}"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ED8C-42DB-9694-2EF62056825D}"/>
                </c:ext>
                <c:ext xmlns:c15="http://schemas.microsoft.com/office/drawing/2012/chart" uri="{CE6537A1-D6FC-4f65-9D91-7224C49458BB}">
                  <c15:dlblFieldTable/>
                  <c15:showDataLabelsRange val="0"/>
                </c:ext>
              </c:extLst>
            </c:dLbl>
            <c:dLbl>
              <c:idx val="5"/>
              <c:tx>
                <c:rich>
                  <a:bodyPr/>
                  <a:lstStyle/>
                  <a:p>
                    <a:r>
                      <a:rPr lang="ru-RU"/>
                      <a:t>ФБ </a:t>
                    </a:r>
                    <a:fld id="{D2FA7C6C-71EB-457C-84EB-3894293DFC75}"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ED8C-42DB-9694-2EF62056825D}"/>
                </c:ext>
                <c:ext xmlns:c15="http://schemas.microsoft.com/office/drawing/2012/chart" uri="{CE6537A1-D6FC-4f65-9D91-7224C49458BB}">
                  <c15:dlblFieldTable/>
                  <c15:showDataLabelsRange val="0"/>
                </c:ext>
              </c:extLst>
            </c:dLbl>
            <c:dLbl>
              <c:idx val="6"/>
              <c:tx>
                <c:rich>
                  <a:bodyPr/>
                  <a:lstStyle/>
                  <a:p>
                    <a:r>
                      <a:rPr lang="ru-RU"/>
                      <a:t>ФБ </a:t>
                    </a:r>
                    <a:fld id="{3B2FEFFD-4314-4EBC-A78D-CA647B1F2697}"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ED8C-42DB-9694-2EF62056825D}"/>
                </c:ext>
                <c:ext xmlns:c15="http://schemas.microsoft.com/office/drawing/2012/chart" uri="{CE6537A1-D6FC-4f65-9D91-7224C49458BB}">
                  <c15:dlblFieldTable/>
                  <c15:showDataLabelsRange val="0"/>
                </c:ext>
              </c:extLst>
            </c:dLbl>
            <c:dLbl>
              <c:idx val="7"/>
              <c:tx>
                <c:rich>
                  <a:bodyPr/>
                  <a:lstStyle/>
                  <a:p>
                    <a:r>
                      <a:rPr lang="ru-RU"/>
                      <a:t>ФБ </a:t>
                    </a:r>
                    <a:fld id="{F6E81870-F669-45F0-A387-516AB1D5EDC5}"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ED8C-42DB-9694-2EF62056825D}"/>
                </c:ext>
                <c:ext xmlns:c15="http://schemas.microsoft.com/office/drawing/2012/chart" uri="{CE6537A1-D6FC-4f65-9D91-7224C49458BB}">
                  <c15:dlblFieldTable/>
                  <c15:showDataLabelsRange val="0"/>
                </c:ext>
              </c:extLst>
            </c:dLbl>
            <c:dLbl>
              <c:idx val="8"/>
              <c:delete val="1"/>
              <c:extLst xmlns:c16r2="http://schemas.microsoft.com/office/drawing/2015/06/chart">
                <c:ext xmlns:c16="http://schemas.microsoft.com/office/drawing/2014/chart" uri="{C3380CC4-5D6E-409C-BE32-E72D297353CC}">
                  <c16:uniqueId val="{00000013-ED8C-42DB-9694-2EF62056825D}"/>
                </c:ext>
                <c:ext xmlns:c15="http://schemas.microsoft.com/office/drawing/2012/chart" uri="{CE6537A1-D6FC-4f65-9D91-7224C49458BB}"/>
              </c:extLst>
            </c:dLbl>
            <c:dLbl>
              <c:idx val="9"/>
              <c:layout>
                <c:manualLayout>
                  <c:x val="6.8259385665526955E-3"/>
                  <c:y val="-4.7342880814297654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CD39-4A05-9F8E-8ADB978B0D65}"/>
                </c:ex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Лист1!$A$2:$A$10</c:f>
              <c:strCache>
                <c:ptCount val="9"/>
                <c:pt idx="0">
                  <c:v>Физическая культура и спорт</c:v>
                </c:pt>
                <c:pt idx="1">
                  <c:v>Культура</c:v>
                </c:pt>
                <c:pt idx="2">
                  <c:v>Общественная безопасность</c:v>
                </c:pt>
                <c:pt idx="3">
                  <c:v>Занятость и труд</c:v>
                </c:pt>
                <c:pt idx="4">
                  <c:v>Государственное управление и гражданское общество</c:v>
                </c:pt>
                <c:pt idx="5">
                  <c:v>Экономический потенциал</c:v>
                </c:pt>
                <c:pt idx="6">
                  <c:v>Рыбное и сельское хозяйство</c:v>
                </c:pt>
                <c:pt idx="7">
                  <c:v>Природные ресурсы и экология</c:v>
                </c:pt>
                <c:pt idx="8">
                  <c:v>Информационное общество</c:v>
                </c:pt>
              </c:strCache>
            </c:strRef>
          </c:cat>
          <c:val>
            <c:numRef>
              <c:f>Лист1!$C$2:$C$10</c:f>
              <c:numCache>
                <c:formatCode>#,##0.0</c:formatCode>
                <c:ptCount val="9"/>
                <c:pt idx="0">
                  <c:v>448.3</c:v>
                </c:pt>
                <c:pt idx="1">
                  <c:v>252.4</c:v>
                </c:pt>
                <c:pt idx="3">
                  <c:v>408.6</c:v>
                </c:pt>
                <c:pt idx="4">
                  <c:v>118.2</c:v>
                </c:pt>
                <c:pt idx="5">
                  <c:v>103.5</c:v>
                </c:pt>
                <c:pt idx="6">
                  <c:v>229.9</c:v>
                </c:pt>
                <c:pt idx="7">
                  <c:v>568.4</c:v>
                </c:pt>
                <c:pt idx="8">
                  <c:v>0</c:v>
                </c:pt>
              </c:numCache>
            </c:numRef>
          </c:val>
          <c:extLst xmlns:c16r2="http://schemas.microsoft.com/office/drawing/2015/06/chart">
            <c:ext xmlns:c16="http://schemas.microsoft.com/office/drawing/2014/chart" uri="{C3380CC4-5D6E-409C-BE32-E72D297353CC}">
              <c16:uniqueId val="{00000014-ED8C-42DB-9694-2EF62056825D}"/>
            </c:ext>
          </c:extLst>
        </c:ser>
        <c:ser>
          <c:idx val="2"/>
          <c:order val="2"/>
          <c:tx>
            <c:strRef>
              <c:f>Лист1!$D$1</c:f>
              <c:strCache>
                <c:ptCount val="1"/>
                <c:pt idx="0">
                  <c:v>МБ</c:v>
                </c:pt>
              </c:strCache>
            </c:strRef>
          </c:tx>
          <c:spPr>
            <a:solidFill>
              <a:srgbClr val="00B0F0"/>
            </a:solidFill>
            <a:ln>
              <a:solidFill>
                <a:sysClr val="window" lastClr="FFFFFF">
                  <a:lumMod val="65000"/>
                </a:sysClr>
              </a:solidFill>
            </a:ln>
          </c:spPr>
          <c:invertIfNegative val="0"/>
          <c:dLbls>
            <c:dLbl>
              <c:idx val="0"/>
              <c:layout>
                <c:manualLayout>
                  <c:x val="-1.9743336623889451E-2"/>
                  <c:y val="-2.2058823529411811E-2"/>
                </c:manualLayout>
              </c:layout>
              <c:tx>
                <c:rich>
                  <a:bodyPr/>
                  <a:lstStyle/>
                  <a:p>
                    <a:r>
                      <a:rPr lang="ru-RU"/>
                      <a:t>МБ </a:t>
                    </a:r>
                    <a:fld id="{B16FEEA2-2C52-4BA3-85E7-2DF8F0CC74F8}" type="VALUE">
                      <a:rPr lang="en-US"/>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
              <c:tx>
                <c:rich>
                  <a:bodyPr/>
                  <a:lstStyle/>
                  <a:p>
                    <a:r>
                      <a:rPr lang="ru-RU"/>
                      <a:t>МБ </a:t>
                    </a:r>
                    <a:fld id="{DFCDEAE3-5BB1-4A6E-9DB0-C6E274B4547B}" type="VALUE">
                      <a:rPr lang="en-US"/>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layout>
                <c:manualLayout>
                  <c:x val="-3.2905561039815824E-2"/>
                  <c:y val="-2.2058823529411811E-2"/>
                </c:manualLayout>
              </c:layout>
              <c:tx>
                <c:rich>
                  <a:bodyPr/>
                  <a:lstStyle/>
                  <a:p>
                    <a:r>
                      <a:rPr lang="ru-RU"/>
                      <a:t>МБ </a:t>
                    </a:r>
                    <a:fld id="{34B25DB1-B513-499F-ACDB-76D575C3B8C1}" type="VALUE">
                      <a:rPr lang="en-US"/>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5"/>
              <c:delete val="1"/>
              <c:extLst>
                <c:ext xmlns:c15="http://schemas.microsoft.com/office/drawing/2012/chart" uri="{CE6537A1-D6FC-4f65-9D91-7224C49458BB}"/>
              </c:extLst>
            </c:dLbl>
            <c:dLbl>
              <c:idx val="6"/>
              <c:layout>
                <c:manualLayout>
                  <c:x val="4.8700230338927182E-2"/>
                  <c:y val="-3.4313725490196081E-2"/>
                </c:manualLayout>
              </c:layout>
              <c:tx>
                <c:rich>
                  <a:bodyPr/>
                  <a:lstStyle/>
                  <a:p>
                    <a:r>
                      <a:rPr lang="ru-RU"/>
                      <a:t>МБ </a:t>
                    </a:r>
                    <a:fld id="{FD25F339-FC87-4250-B5E4-0B7F2C580C75}" type="VALUE">
                      <a:rPr lang="en-US"/>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7"/>
              <c:layout>
                <c:manualLayout>
                  <c:x val="3.8170450806186147E-2"/>
                  <c:y val="7.3529411764704988E-3"/>
                </c:manualLayout>
              </c:layout>
              <c:tx>
                <c:rich>
                  <a:bodyPr/>
                  <a:lstStyle/>
                  <a:p>
                    <a:r>
                      <a:rPr lang="ru-RU">
                        <a:latin typeface="Times New Roman" panose="02020603050405020304" pitchFamily="18" charset="0"/>
                        <a:cs typeface="Times New Roman" panose="02020603050405020304" pitchFamily="18" charset="0"/>
                      </a:rPr>
                      <a:t>МБ </a:t>
                    </a:r>
                    <a:fld id="{34E6C024-4223-4393-AE3F-7673B9E68958}" type="VALUE">
                      <a:rPr lang="en-US">
                        <a:latin typeface="Times New Roman" panose="02020603050405020304" pitchFamily="18" charset="0"/>
                        <a:cs typeface="Times New Roman" panose="02020603050405020304" pitchFamily="18" charset="0"/>
                      </a:rPr>
                      <a:pPr/>
                      <a:t>[ЗНАЧЕНИЕ]</a:t>
                    </a:fld>
                    <a:endParaRPr lang="ru-RU">
                      <a:latin typeface="Times New Roman" panose="02020603050405020304" pitchFamily="18" charset="0"/>
                      <a:cs typeface="Times New Roman" panose="02020603050405020304" pitchFamily="18" charset="0"/>
                    </a:endParaRP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delete val="1"/>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Лист1!$A$2:$A$10</c:f>
              <c:strCache>
                <c:ptCount val="9"/>
                <c:pt idx="0">
                  <c:v>Физическая культура и спорт</c:v>
                </c:pt>
                <c:pt idx="1">
                  <c:v>Культура</c:v>
                </c:pt>
                <c:pt idx="2">
                  <c:v>Общественная безопасность</c:v>
                </c:pt>
                <c:pt idx="3">
                  <c:v>Занятость и труд</c:v>
                </c:pt>
                <c:pt idx="4">
                  <c:v>Государственное управление и гражданское общество</c:v>
                </c:pt>
                <c:pt idx="5">
                  <c:v>Экономический потенциал</c:v>
                </c:pt>
                <c:pt idx="6">
                  <c:v>Рыбное и сельское хозяйство</c:v>
                </c:pt>
                <c:pt idx="7">
                  <c:v>Природные ресурсы и экология</c:v>
                </c:pt>
                <c:pt idx="8">
                  <c:v>Информационное общество</c:v>
                </c:pt>
              </c:strCache>
            </c:strRef>
          </c:cat>
          <c:val>
            <c:numRef>
              <c:f>Лист1!$D$2:$D$10</c:f>
              <c:numCache>
                <c:formatCode>#,##0.0</c:formatCode>
                <c:ptCount val="9"/>
                <c:pt idx="0">
                  <c:v>28.9</c:v>
                </c:pt>
                <c:pt idx="1">
                  <c:v>297.39999999999998</c:v>
                </c:pt>
                <c:pt idx="4">
                  <c:v>96.1</c:v>
                </c:pt>
                <c:pt idx="5">
                  <c:v>0</c:v>
                </c:pt>
                <c:pt idx="6">
                  <c:v>11.3</c:v>
                </c:pt>
                <c:pt idx="7">
                  <c:v>9.8000000000000007</c:v>
                </c:pt>
              </c:numCache>
            </c:numRef>
          </c:val>
          <c:extLst xmlns:c16r2="http://schemas.microsoft.com/office/drawing/2015/06/chart">
            <c:ext xmlns:c16="http://schemas.microsoft.com/office/drawing/2014/chart" uri="{C3380CC4-5D6E-409C-BE32-E72D297353CC}">
              <c16:uniqueId val="{00000016-ED8C-42DB-9694-2EF62056825D}"/>
            </c:ext>
          </c:extLst>
        </c:ser>
        <c:ser>
          <c:idx val="3"/>
          <c:order val="3"/>
          <c:tx>
            <c:strRef>
              <c:f>Лист1!$E$1</c:f>
              <c:strCache>
                <c:ptCount val="1"/>
                <c:pt idx="0">
                  <c:v>ВБС</c:v>
                </c:pt>
              </c:strCache>
            </c:strRef>
          </c:tx>
          <c:spPr>
            <a:solidFill>
              <a:srgbClr val="FFC000"/>
            </a:solidFill>
            <a:ln>
              <a:solidFill>
                <a:schemeClr val="bg1">
                  <a:lumMod val="65000"/>
                </a:schemeClr>
              </a:solidFill>
            </a:ln>
          </c:spPr>
          <c:invertIfNegative val="0"/>
          <c:dLbls>
            <c:dLbl>
              <c:idx val="0"/>
              <c:delete val="1"/>
              <c:extLs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18-ED8C-42DB-9694-2EF62056825D}"/>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19-ED8C-42DB-9694-2EF62056825D}"/>
                </c:ext>
                <c:ext xmlns:c15="http://schemas.microsoft.com/office/drawing/2012/chart" uri="{CE6537A1-D6FC-4f65-9D91-7224C49458BB}"/>
              </c:extLst>
            </c:dLbl>
            <c:dLbl>
              <c:idx val="3"/>
              <c:layout>
                <c:manualLayout>
                  <c:x val="1.3651877133105323E-3"/>
                  <c:y val="-1.8937152325719023E-2"/>
                </c:manualLayout>
              </c:layout>
              <c:tx>
                <c:rich>
                  <a:bodyPr/>
                  <a:lstStyle/>
                  <a:p>
                    <a:r>
                      <a:rPr lang="ru-RU"/>
                      <a:t>ВБС </a:t>
                    </a:r>
                    <a:fld id="{A79D2DC7-4B43-41E1-BD56-210CC310C581}"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A-ED8C-42DB-9694-2EF62056825D}"/>
                </c:ext>
                <c:ext xmlns:c15="http://schemas.microsoft.com/office/drawing/2012/chart" uri="{CE6537A1-D6FC-4f65-9D91-7224C49458BB}">
                  <c15:dlblFieldTable/>
                  <c15:showDataLabelsRange val="0"/>
                </c:ext>
              </c:extLst>
            </c:dLbl>
            <c:dLbl>
              <c:idx val="4"/>
              <c:delete val="1"/>
              <c:extLst xmlns:c16r2="http://schemas.microsoft.com/office/drawing/2015/06/chart">
                <c:ext xmlns:c16="http://schemas.microsoft.com/office/drawing/2014/chart" uri="{C3380CC4-5D6E-409C-BE32-E72D297353CC}">
                  <c16:uniqueId val="{0000001B-ED8C-42DB-9694-2EF62056825D}"/>
                </c:ext>
                <c:ext xmlns:c15="http://schemas.microsoft.com/office/drawing/2012/chart" uri="{CE6537A1-D6FC-4f65-9D91-7224C49458BB}"/>
              </c:extLst>
            </c:dLbl>
            <c:dLbl>
              <c:idx val="5"/>
              <c:layout>
                <c:manualLayout>
                  <c:x val="6.5811122079631459E-3"/>
                  <c:y val="-2.328643662189285E-2"/>
                </c:manualLayout>
              </c:layout>
              <c:tx>
                <c:rich>
                  <a:bodyPr/>
                  <a:lstStyle/>
                  <a:p>
                    <a:r>
                      <a:rPr lang="ru-RU"/>
                      <a:t>ВБС </a:t>
                    </a:r>
                    <a:fld id="{E1C84C61-FD21-42D8-9875-151CFE622D5B}"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C-ED8C-42DB-9694-2EF62056825D}"/>
                </c:ext>
                <c:ext xmlns:c15="http://schemas.microsoft.com/office/drawing/2012/chart" uri="{CE6537A1-D6FC-4f65-9D91-7224C49458BB}">
                  <c15:dlblFieldTable/>
                  <c15:showDataLabelsRange val="0"/>
                </c:ext>
              </c:extLst>
            </c:dLbl>
            <c:dLbl>
              <c:idx val="6"/>
              <c:layout>
                <c:manualLayout>
                  <c:x val="-4.738400789733465E-2"/>
                  <c:y val="-1.4705882352941176E-2"/>
                </c:manualLayout>
              </c:layout>
              <c:tx>
                <c:rich>
                  <a:bodyPr/>
                  <a:lstStyle/>
                  <a:p>
                    <a:r>
                      <a:rPr lang="ru-RU"/>
                      <a:t>ВБС </a:t>
                    </a:r>
                    <a:fld id="{FAB38353-4D21-4D95-BC5D-F5DD247A1560}"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D-ED8C-42DB-9694-2EF62056825D}"/>
                </c:ext>
                <c:ext xmlns:c15="http://schemas.microsoft.com/office/drawing/2012/chart" uri="{CE6537A1-D6FC-4f65-9D91-7224C49458BB}">
                  <c15:dlblFieldTable/>
                  <c15:showDataLabelsRange val="0"/>
                </c:ext>
              </c:extLst>
            </c:dLbl>
            <c:dLbl>
              <c:idx val="7"/>
              <c:layout>
                <c:manualLayout>
                  <c:x val="-3.0273116156630472E-2"/>
                  <c:y val="1.1949011888219854E-2"/>
                </c:manualLayout>
              </c:layout>
              <c:tx>
                <c:rich>
                  <a:bodyPr/>
                  <a:lstStyle/>
                  <a:p>
                    <a:r>
                      <a:rPr lang="ru-RU"/>
                      <a:t>ВБС </a:t>
                    </a:r>
                    <a:fld id="{95471847-7D33-4CC4-A723-C08D06E395C9}"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E-ED8C-42DB-9694-2EF62056825D}"/>
                </c:ext>
                <c:ext xmlns:c15="http://schemas.microsoft.com/office/drawing/2012/chart" uri="{CE6537A1-D6FC-4f65-9D91-7224C49458BB}">
                  <c15:dlblFieldTable/>
                  <c15:showDataLabelsRange val="0"/>
                </c:ext>
              </c:extLst>
            </c:dLbl>
            <c:dLbl>
              <c:idx val="8"/>
              <c:delete val="1"/>
              <c:extLst xmlns:c16r2="http://schemas.microsoft.com/office/drawing/2015/06/chart">
                <c:ext xmlns:c16="http://schemas.microsoft.com/office/drawing/2014/chart" uri="{C3380CC4-5D6E-409C-BE32-E72D297353CC}">
                  <c16:uniqueId val="{0000001F-ED8C-42DB-9694-2EF62056825D}"/>
                </c:ext>
                <c:ext xmlns:c15="http://schemas.microsoft.com/office/drawing/2012/chart" uri="{CE6537A1-D6FC-4f65-9D91-7224C49458BB}"/>
              </c:extLst>
            </c:dLbl>
            <c:dLbl>
              <c:idx val="9"/>
              <c:layout>
                <c:manualLayout>
                  <c:x val="2.7303754266211604E-3"/>
                  <c:y val="-2.6383963810654689E-2"/>
                </c:manualLayout>
              </c:layout>
              <c:tx>
                <c:rich>
                  <a:bodyPr/>
                  <a:lstStyle/>
                  <a:p>
                    <a:r>
                      <a:rPr lang="ru-RU"/>
                      <a:t>ВБС </a:t>
                    </a:r>
                    <a:fld id="{7C5A8811-6D07-46BE-A5BB-42E706BFAA99}" type="VALUE">
                      <a:rPr lang="en-US"/>
                      <a:pPr/>
                      <a:t>[ЗНАЧЕНИЕ]</a:t>
                    </a:fld>
                    <a:endParaRPr lang="ru-RU"/>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0-ED8C-42DB-9694-2EF62056825D}"/>
                </c:ext>
                <c:ext xmlns:c15="http://schemas.microsoft.com/office/drawing/2012/chart" uri="{CE6537A1-D6FC-4f65-9D91-7224C49458BB}">
                  <c15:dlblFieldTable/>
                  <c15:showDataLabelsRange val="0"/>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Лист1!$A$2:$A$10</c:f>
              <c:strCache>
                <c:ptCount val="9"/>
                <c:pt idx="0">
                  <c:v>Физическая культура и спорт</c:v>
                </c:pt>
                <c:pt idx="1">
                  <c:v>Культура</c:v>
                </c:pt>
                <c:pt idx="2">
                  <c:v>Общественная безопасность</c:v>
                </c:pt>
                <c:pt idx="3">
                  <c:v>Занятость и труд</c:v>
                </c:pt>
                <c:pt idx="4">
                  <c:v>Государственное управление и гражданское общество</c:v>
                </c:pt>
                <c:pt idx="5">
                  <c:v>Экономический потенциал</c:v>
                </c:pt>
                <c:pt idx="6">
                  <c:v>Рыбное и сельское хозяйство</c:v>
                </c:pt>
                <c:pt idx="7">
                  <c:v>Природные ресурсы и экология</c:v>
                </c:pt>
                <c:pt idx="8">
                  <c:v>Информационное общество</c:v>
                </c:pt>
              </c:strCache>
            </c:strRef>
          </c:cat>
          <c:val>
            <c:numRef>
              <c:f>Лист1!$E$2:$E$10</c:f>
              <c:numCache>
                <c:formatCode>General</c:formatCode>
                <c:ptCount val="9"/>
                <c:pt idx="3" formatCode="#,##0.0">
                  <c:v>105.9</c:v>
                </c:pt>
                <c:pt idx="5" formatCode="#,##0.0">
                  <c:v>0.1</c:v>
                </c:pt>
                <c:pt idx="6" formatCode="#,##0.0">
                  <c:v>103</c:v>
                </c:pt>
                <c:pt idx="7" formatCode="#,##0.0">
                  <c:v>17.5</c:v>
                </c:pt>
              </c:numCache>
            </c:numRef>
          </c:val>
          <c:extLst xmlns:c16r2="http://schemas.microsoft.com/office/drawing/2015/06/chart">
            <c:ext xmlns:c16="http://schemas.microsoft.com/office/drawing/2014/chart" uri="{C3380CC4-5D6E-409C-BE32-E72D297353CC}">
              <c16:uniqueId val="{00000021-ED8C-42DB-9694-2EF62056825D}"/>
            </c:ext>
          </c:extLst>
        </c:ser>
        <c:dLbls>
          <c:showLegendKey val="0"/>
          <c:showVal val="1"/>
          <c:showCatName val="0"/>
          <c:showSerName val="0"/>
          <c:showPercent val="0"/>
          <c:showBubbleSize val="0"/>
        </c:dLbls>
        <c:gapWidth val="55"/>
        <c:overlap val="100"/>
        <c:axId val="430594304"/>
        <c:axId val="433412912"/>
      </c:barChart>
      <c:lineChart>
        <c:grouping val="standard"/>
        <c:varyColors val="0"/>
        <c:ser>
          <c:idx val="4"/>
          <c:order val="4"/>
          <c:tx>
            <c:strRef>
              <c:f>Лист1!$F$1</c:f>
              <c:strCache>
                <c:ptCount val="1"/>
                <c:pt idx="0">
                  <c:v>План</c:v>
                </c:pt>
              </c:strCache>
            </c:strRef>
          </c:tx>
          <c:marker>
            <c:symbol val="none"/>
          </c:marker>
          <c:dLbls>
            <c:delete val="1"/>
          </c:dLbls>
          <c:cat>
            <c:strRef>
              <c:f>Лист1!$A$2:$A$10</c:f>
              <c:strCache>
                <c:ptCount val="9"/>
                <c:pt idx="0">
                  <c:v>Физическая культура и спорт</c:v>
                </c:pt>
                <c:pt idx="1">
                  <c:v>Культура</c:v>
                </c:pt>
                <c:pt idx="2">
                  <c:v>Общественная безопасность</c:v>
                </c:pt>
                <c:pt idx="3">
                  <c:v>Занятость и труд</c:v>
                </c:pt>
                <c:pt idx="4">
                  <c:v>Государственное управление и гражданское общество</c:v>
                </c:pt>
                <c:pt idx="5">
                  <c:v>Экономический потенциал</c:v>
                </c:pt>
                <c:pt idx="6">
                  <c:v>Рыбное и сельское хозяйство</c:v>
                </c:pt>
                <c:pt idx="7">
                  <c:v>Природные ресурсы и экология</c:v>
                </c:pt>
                <c:pt idx="8">
                  <c:v>Информационное общество</c:v>
                </c:pt>
              </c:strCache>
            </c:strRef>
          </c:cat>
          <c:val>
            <c:numRef>
              <c:f>Лист1!$F$2:$F$10</c:f>
              <c:numCache>
                <c:formatCode>#,##0.0</c:formatCode>
                <c:ptCount val="9"/>
                <c:pt idx="0">
                  <c:v>2153.3000000000002</c:v>
                </c:pt>
                <c:pt idx="1">
                  <c:v>3292.5</c:v>
                </c:pt>
                <c:pt idx="2">
                  <c:v>2429.4</c:v>
                </c:pt>
                <c:pt idx="3">
                  <c:v>1116.8</c:v>
                </c:pt>
                <c:pt idx="4">
                  <c:v>3000.3</c:v>
                </c:pt>
                <c:pt idx="5">
                  <c:v>2535.3000000000002</c:v>
                </c:pt>
                <c:pt idx="6">
                  <c:v>1459.8</c:v>
                </c:pt>
                <c:pt idx="7">
                  <c:v>1396</c:v>
                </c:pt>
                <c:pt idx="8">
                  <c:v>1906.7</c:v>
                </c:pt>
              </c:numCache>
            </c:numRef>
          </c:val>
          <c:smooth val="0"/>
          <c:extLst xmlns:c16r2="http://schemas.microsoft.com/office/drawing/2015/06/chart">
            <c:ext xmlns:c16="http://schemas.microsoft.com/office/drawing/2014/chart" uri="{C3380CC4-5D6E-409C-BE32-E72D297353CC}">
              <c16:uniqueId val="{00000022-ED8C-42DB-9694-2EF62056825D}"/>
            </c:ext>
          </c:extLst>
        </c:ser>
        <c:ser>
          <c:idx val="5"/>
          <c:order val="5"/>
          <c:tx>
            <c:strRef>
              <c:f>Лист1!$G$1</c:f>
              <c:strCache>
                <c:ptCount val="1"/>
                <c:pt idx="0">
                  <c:v>Всего расходов</c:v>
                </c:pt>
              </c:strCache>
            </c:strRef>
          </c:tx>
          <c:spPr>
            <a:ln>
              <a:solidFill>
                <a:srgbClr val="FF0000"/>
              </a:solidFill>
            </a:ln>
          </c:spPr>
          <c:marker>
            <c:spPr>
              <a:solidFill>
                <a:srgbClr val="FF0000"/>
              </a:solidFill>
            </c:spPr>
          </c:marker>
          <c:dLbls>
            <c:dLbl>
              <c:idx val="0"/>
              <c:layout>
                <c:manualLayout>
                  <c:x val="-3.801053496151087E-2"/>
                  <c:y val="-4.729176316195778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3-ED8C-42DB-9694-2EF62056825D}"/>
                </c:ext>
                <c:ext xmlns:c15="http://schemas.microsoft.com/office/drawing/2012/chart" uri="{CE6537A1-D6FC-4f65-9D91-7224C49458BB}"/>
              </c:extLst>
            </c:dLbl>
            <c:dLbl>
              <c:idx val="1"/>
              <c:layout>
                <c:manualLayout>
                  <c:x val="-3.4129721700195355E-2"/>
                  <c:y val="-7.0912588836684803E-2"/>
                </c:manualLayout>
              </c:layout>
              <c:spPr>
                <a:noFill/>
              </c:spPr>
              <c:txPr>
                <a:bodyPr/>
                <a:lstStyle/>
                <a:p>
                  <a:pPr>
                    <a:defRPr b="1">
                      <a:solidFill>
                        <a:srgbClr val="FF0000"/>
                      </a:solidFill>
                      <a:latin typeface="Times New Roman" panose="02020603050405020304" pitchFamily="18" charset="0"/>
                      <a:cs typeface="Times New Roman" panose="02020603050405020304" pitchFamily="18" charset="0"/>
                    </a:defRPr>
                  </a:pPr>
                  <a:endParaRPr lang="ru-RU"/>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4-ED8C-42DB-9694-2EF62056825D}"/>
                </c:ext>
                <c:ext xmlns:c15="http://schemas.microsoft.com/office/drawing/2012/chart" uri="{CE6537A1-D6FC-4f65-9D91-7224C49458BB}"/>
              </c:extLst>
            </c:dLbl>
            <c:dLbl>
              <c:idx val="2"/>
              <c:layout>
                <c:manualLayout>
                  <c:x val="-2.8783297448134924E-2"/>
                  <c:y val="-6.204608615099587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5-ED8C-42DB-9694-2EF62056825D}"/>
                </c:ext>
                <c:ext xmlns:c15="http://schemas.microsoft.com/office/drawing/2012/chart" uri="{CE6537A1-D6FC-4f65-9D91-7224C49458BB}"/>
              </c:extLst>
            </c:dLbl>
            <c:dLbl>
              <c:idx val="3"/>
              <c:layout>
                <c:manualLayout>
                  <c:x val="-3.6731933681044111E-2"/>
                  <c:y val="-5.612532808398949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6-ED8C-42DB-9694-2EF62056825D}"/>
                </c:ext>
                <c:ext xmlns:c15="http://schemas.microsoft.com/office/drawing/2012/chart" uri="{CE6537A1-D6FC-4f65-9D91-7224C49458BB}"/>
              </c:extLst>
            </c:dLbl>
            <c:dLbl>
              <c:idx val="4"/>
              <c:layout>
                <c:manualLayout>
                  <c:x val="-3.5494868277417081E-2"/>
                  <c:y val="-6.105207969548996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7-ED8C-42DB-9694-2EF62056825D}"/>
                </c:ext>
                <c:ext xmlns:c15="http://schemas.microsoft.com/office/drawing/2012/chart" uri="{CE6537A1-D6FC-4f65-9D91-7224C49458BB}"/>
              </c:extLst>
            </c:dLbl>
            <c:dLbl>
              <c:idx val="5"/>
              <c:layout>
                <c:manualLayout>
                  <c:x val="-3.2764507595484424E-2"/>
                  <c:y val="-8.147329010344303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8-ED8C-42DB-9694-2EF62056825D}"/>
                </c:ext>
                <c:ext xmlns:c15="http://schemas.microsoft.com/office/drawing/2012/chart" uri="{CE6537A1-D6FC-4f65-9D91-7224C49458BB}"/>
              </c:extLst>
            </c:dLbl>
            <c:dLbl>
              <c:idx val="6"/>
              <c:layout>
                <c:manualLayout>
                  <c:x val="-3.264014012068827E-2"/>
                  <c:y val="-5.452427821522309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9-ED8C-42DB-9694-2EF62056825D}"/>
                </c:ext>
                <c:ext xmlns:c15="http://schemas.microsoft.com/office/drawing/2012/chart" uri="{CE6537A1-D6FC-4f65-9D91-7224C49458BB}"/>
              </c:extLst>
            </c:dLbl>
            <c:dLbl>
              <c:idx val="7"/>
              <c:layout>
                <c:manualLayout>
                  <c:x val="-3.2674707202385203E-2"/>
                  <c:y val="-5.081964184708170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A-ED8C-42DB-9694-2EF62056825D}"/>
                </c:ext>
                <c:ext xmlns:c15="http://schemas.microsoft.com/office/drawing/2012/chart" uri="{CE6537A1-D6FC-4f65-9D91-7224C49458BB}"/>
              </c:extLst>
            </c:dLbl>
            <c:dLbl>
              <c:idx val="8"/>
              <c:layout>
                <c:manualLayout>
                  <c:x val="-2.7455363735998942E-2"/>
                  <c:y val="-4.016442797591477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B-ED8C-42DB-9694-2EF62056825D}"/>
                </c:ext>
                <c:ext xmlns:c15="http://schemas.microsoft.com/office/drawing/2012/chart" uri="{CE6537A1-D6FC-4f65-9D91-7224C49458BB}"/>
              </c:extLst>
            </c:dLbl>
            <c:dLbl>
              <c:idx val="9"/>
              <c:layout>
                <c:manualLayout>
                  <c:x val="-1.7747440273037547E-2"/>
                  <c:y val="4.341006669940906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C-ED8C-42DB-9694-2EF62056825D}"/>
                </c:ext>
                <c:ext xmlns:c15="http://schemas.microsoft.com/office/drawing/2012/chart" uri="{CE6537A1-D6FC-4f65-9D91-7224C49458BB}"/>
              </c:extLst>
            </c:dLbl>
            <c:dLbl>
              <c:idx val="10"/>
              <c:layout>
                <c:manualLayout>
                  <c:x val="0"/>
                  <c:y val="-9.2013883228584999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D-ED8C-42DB-9694-2EF62056825D}"/>
                </c:ext>
                <c:ext xmlns:c15="http://schemas.microsoft.com/office/drawing/2012/chart" uri="{CE6537A1-D6FC-4f65-9D91-7224C49458BB}"/>
              </c:extLst>
            </c:dLbl>
            <c:spPr>
              <a:noFill/>
              <a:ln>
                <a:noFill/>
              </a:ln>
              <a:effectLst/>
            </c:spPr>
            <c:txPr>
              <a:bodyPr/>
              <a:lstStyle/>
              <a:p>
                <a:pPr>
                  <a:defRPr b="1">
                    <a:solidFill>
                      <a:srgbClr val="FF0000"/>
                    </a:solidFill>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Лист1!$A$2:$A$10</c:f>
              <c:strCache>
                <c:ptCount val="9"/>
                <c:pt idx="0">
                  <c:v>Физическая культура и спорт</c:v>
                </c:pt>
                <c:pt idx="1">
                  <c:v>Культура</c:v>
                </c:pt>
                <c:pt idx="2">
                  <c:v>Общественная безопасность</c:v>
                </c:pt>
                <c:pt idx="3">
                  <c:v>Занятость и труд</c:v>
                </c:pt>
                <c:pt idx="4">
                  <c:v>Государственное управление и гражданское общество</c:v>
                </c:pt>
                <c:pt idx="5">
                  <c:v>Экономический потенциал</c:v>
                </c:pt>
                <c:pt idx="6">
                  <c:v>Рыбное и сельское хозяйство</c:v>
                </c:pt>
                <c:pt idx="7">
                  <c:v>Природные ресурсы и экология</c:v>
                </c:pt>
                <c:pt idx="8">
                  <c:v>Информационное общество</c:v>
                </c:pt>
              </c:strCache>
            </c:strRef>
          </c:cat>
          <c:val>
            <c:numRef>
              <c:f>Лист1!$G$2:$G$10</c:f>
              <c:numCache>
                <c:formatCode>#,##0.0</c:formatCode>
                <c:ptCount val="9"/>
                <c:pt idx="0">
                  <c:v>2078.1999999999998</c:v>
                </c:pt>
                <c:pt idx="1">
                  <c:v>2912.6</c:v>
                </c:pt>
                <c:pt idx="2">
                  <c:v>2090.5</c:v>
                </c:pt>
                <c:pt idx="3">
                  <c:v>1150.3</c:v>
                </c:pt>
                <c:pt idx="4">
                  <c:v>2868.8</c:v>
                </c:pt>
                <c:pt idx="5">
                  <c:v>750.7</c:v>
                </c:pt>
                <c:pt idx="6">
                  <c:v>1506.2</c:v>
                </c:pt>
                <c:pt idx="7">
                  <c:v>1257.0999999999999</c:v>
                </c:pt>
                <c:pt idx="8">
                  <c:v>1884</c:v>
                </c:pt>
              </c:numCache>
            </c:numRef>
          </c:val>
          <c:smooth val="0"/>
          <c:extLst xmlns:c16r2="http://schemas.microsoft.com/office/drawing/2015/06/chart">
            <c:ext xmlns:c16="http://schemas.microsoft.com/office/drawing/2014/chart" uri="{C3380CC4-5D6E-409C-BE32-E72D297353CC}">
              <c16:uniqueId val="{0000002E-ED8C-42DB-9694-2EF62056825D}"/>
            </c:ext>
          </c:extLst>
        </c:ser>
        <c:dLbls>
          <c:showLegendKey val="0"/>
          <c:showVal val="1"/>
          <c:showCatName val="0"/>
          <c:showSerName val="0"/>
          <c:showPercent val="0"/>
          <c:showBubbleSize val="0"/>
        </c:dLbls>
        <c:marker val="1"/>
        <c:smooth val="0"/>
        <c:axId val="430594304"/>
        <c:axId val="433412912"/>
      </c:lineChart>
      <c:scatterChart>
        <c:scatterStyle val="lineMarker"/>
        <c:varyColors val="0"/>
        <c:ser>
          <c:idx val="6"/>
          <c:order val="6"/>
          <c:tx>
            <c:strRef>
              <c:f>Лист1!$H$1</c:f>
              <c:strCache>
                <c:ptCount val="1"/>
                <c:pt idx="0">
                  <c:v>Степень освоения средств, %</c:v>
                </c:pt>
              </c:strCache>
            </c:strRef>
          </c:tx>
          <c:spPr>
            <a:ln w="28559">
              <a:noFill/>
            </a:ln>
          </c:spPr>
          <c:marker>
            <c:symbol val="diamond"/>
            <c:size val="6"/>
            <c:spPr>
              <a:solidFill>
                <a:srgbClr val="0070C0"/>
              </a:solidFill>
            </c:spPr>
          </c:marker>
          <c:dLbls>
            <c:dLbl>
              <c:idx val="0"/>
              <c:layout>
                <c:manualLayout>
                  <c:x val="-2.6275530958432762E-2"/>
                  <c:y val="-2.817733237890718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CD39-4A05-9F8E-8ADB978B0D65}"/>
                </c:ext>
                <c:ext xmlns:c15="http://schemas.microsoft.com/office/drawing/2012/chart" uri="{CE6537A1-D6FC-4f65-9D91-7224C49458BB}"/>
              </c:extLst>
            </c:dLbl>
            <c:dLbl>
              <c:idx val="1"/>
              <c:layout>
                <c:manualLayout>
                  <c:x val="-2.8222400136804247E-2"/>
                  <c:y val="-2.655251729897403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D39-4A05-9F8E-8ADB978B0D65}"/>
                </c:ext>
                <c:ext xmlns:c15="http://schemas.microsoft.com/office/drawing/2012/chart" uri="{CE6537A1-D6FC-4f65-9D91-7224C49458BB}"/>
              </c:extLst>
            </c:dLbl>
            <c:dLbl>
              <c:idx val="2"/>
              <c:layout>
                <c:manualLayout>
                  <c:x val="-2.8956893715037842E-2"/>
                  <c:y val="-3.100128847530424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CD39-4A05-9F8E-8ADB978B0D65}"/>
                </c:ext>
                <c:ext xmlns:c15="http://schemas.microsoft.com/office/drawing/2012/chart" uri="{CE6537A1-D6FC-4f65-9D91-7224C49458BB}"/>
              </c:extLst>
            </c:dLbl>
            <c:dLbl>
              <c:idx val="3"/>
              <c:layout>
                <c:manualLayout>
                  <c:x val="-3.2807621653413804E-2"/>
                  <c:y val="-2.3442996898115031E-2"/>
                </c:manualLayout>
              </c:layout>
              <c:tx>
                <c:rich>
                  <a:bodyPr/>
                  <a:lstStyle/>
                  <a:p>
                    <a:fld id="{7290D451-F345-469F-A882-7DD34B08EDC5}" type="YVALUE">
                      <a:rPr lang="en-US"/>
                      <a:pPr/>
                      <a:t>[ЗНАЧЕНИЕ Y]</a:t>
                    </a:fld>
                    <a:r>
                      <a:rPr lang="en-US"/>
                      <a:t>*</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F-ED8C-42DB-9694-2EF62056825D}"/>
                </c:ext>
                <c:ext xmlns:c15="http://schemas.microsoft.com/office/drawing/2012/chart" uri="{CE6537A1-D6FC-4f65-9D91-7224C49458BB}">
                  <c15:dlblFieldTable/>
                  <c15:showDataLabelsRange val="0"/>
                </c:ext>
              </c:extLst>
            </c:dLbl>
            <c:dLbl>
              <c:idx val="5"/>
              <c:layout>
                <c:manualLayout>
                  <c:x val="-2.8467196783027986E-2"/>
                  <c:y val="-0.21363626819374851"/>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D39-4A05-9F8E-8ADB978B0D65}"/>
                </c:ext>
                <c:ext xmlns:c15="http://schemas.microsoft.com/office/drawing/2012/chart" uri="{CE6537A1-D6FC-4f65-9D91-7224C49458BB}"/>
              </c:extLst>
            </c:dLbl>
            <c:dLbl>
              <c:idx val="6"/>
              <c:layout>
                <c:manualLayout>
                  <c:x val="-3.5538005923000986E-2"/>
                  <c:y val="-2.1361393462180887E-2"/>
                </c:manualLayout>
              </c:layout>
              <c:tx>
                <c:rich>
                  <a:bodyPr/>
                  <a:lstStyle/>
                  <a:p>
                    <a:fld id="{BCB9FAC9-BDA7-41CD-A338-AB2055668173}" type="YVALUE">
                      <a:rPr lang="en-US"/>
                      <a:pPr/>
                      <a:t>[ЗНАЧЕНИЕ Y]</a:t>
                    </a:fld>
                    <a:r>
                      <a:rPr lang="en-US"/>
                      <a:t>**</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D39-4A05-9F8E-8ADB978B0D65}"/>
                </c:ext>
                <c:ext xmlns:c15="http://schemas.microsoft.com/office/drawing/2012/chart" uri="{CE6537A1-D6FC-4f65-9D91-7224C49458BB}">
                  <c15:dlblFieldTable/>
                  <c15:showDataLabelsRange val="0"/>
                </c:ext>
              </c:extLst>
            </c:dLbl>
            <c:dLbl>
              <c:idx val="7"/>
              <c:layout>
                <c:manualLayout>
                  <c:x val="-2.9054833101439814E-2"/>
                  <c:y val="-2.82704843712717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30-ED8C-42DB-9694-2EF62056825D}"/>
                </c:ext>
                <c:ext xmlns:c15="http://schemas.microsoft.com/office/drawing/2012/chart" uri="{CE6537A1-D6FC-4f65-9D91-7224C49458BB}"/>
              </c:extLst>
            </c:dLbl>
            <c:dLbl>
              <c:idx val="8"/>
              <c:layout>
                <c:manualLayout>
                  <c:x val="-2.3692003948667325E-2"/>
                  <c:y val="-2.389978525411598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D39-4A05-9F8E-8ADB978B0D65}"/>
                </c:ext>
                <c:ext xmlns:c15="http://schemas.microsoft.com/office/drawing/2012/chart" uri="{CE6537A1-D6FC-4f65-9D91-7224C49458BB}"/>
              </c:extLst>
            </c:dLbl>
            <c:dLbl>
              <c:idx val="9"/>
              <c:layout>
                <c:manualLayout>
                  <c:x val="0"/>
                  <c:y val="9.4685761628595204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CD39-4A05-9F8E-8ADB978B0D65}"/>
                </c:ex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11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xVal>
            <c:strRef>
              <c:f>Лист1!$A$2:$A$10</c:f>
              <c:strCache>
                <c:ptCount val="9"/>
                <c:pt idx="0">
                  <c:v>Физическая культура и спорт</c:v>
                </c:pt>
                <c:pt idx="1">
                  <c:v>Культура</c:v>
                </c:pt>
                <c:pt idx="2">
                  <c:v>Общественная безопасность</c:v>
                </c:pt>
                <c:pt idx="3">
                  <c:v>Занятость и труд</c:v>
                </c:pt>
                <c:pt idx="4">
                  <c:v>Государственное управление и гражданское общество</c:v>
                </c:pt>
                <c:pt idx="5">
                  <c:v>Экономический потенциал</c:v>
                </c:pt>
                <c:pt idx="6">
                  <c:v>Рыбное и сельское хозяйство</c:v>
                </c:pt>
                <c:pt idx="7">
                  <c:v>Природные ресурсы и экология</c:v>
                </c:pt>
                <c:pt idx="8">
                  <c:v>Информационное общество</c:v>
                </c:pt>
              </c:strCache>
            </c:strRef>
          </c:xVal>
          <c:yVal>
            <c:numRef>
              <c:f>Лист1!$H$2:$H$10</c:f>
              <c:numCache>
                <c:formatCode>0.0%</c:formatCode>
                <c:ptCount val="9"/>
                <c:pt idx="0">
                  <c:v>0.96499999999999997</c:v>
                </c:pt>
                <c:pt idx="1">
                  <c:v>0.88500000000000001</c:v>
                </c:pt>
                <c:pt idx="2">
                  <c:v>0.86</c:v>
                </c:pt>
                <c:pt idx="3">
                  <c:v>1.03</c:v>
                </c:pt>
                <c:pt idx="4">
                  <c:v>0.95599999999999996</c:v>
                </c:pt>
                <c:pt idx="5">
                  <c:v>0.29599999999999999</c:v>
                </c:pt>
                <c:pt idx="6">
                  <c:v>1.032</c:v>
                </c:pt>
                <c:pt idx="7">
                  <c:v>0.90100000000000002</c:v>
                </c:pt>
                <c:pt idx="8">
                  <c:v>0.98799999999999999</c:v>
                </c:pt>
              </c:numCache>
            </c:numRef>
          </c:yVal>
          <c:smooth val="0"/>
          <c:extLst xmlns:c16r2="http://schemas.microsoft.com/office/drawing/2015/06/chart">
            <c:ext xmlns:c16="http://schemas.microsoft.com/office/drawing/2014/chart" uri="{C3380CC4-5D6E-409C-BE32-E72D297353CC}">
              <c16:uniqueId val="{00000031-ED8C-42DB-9694-2EF62056825D}"/>
            </c:ext>
          </c:extLst>
        </c:ser>
        <c:dLbls>
          <c:showLegendKey val="0"/>
          <c:showVal val="1"/>
          <c:showCatName val="0"/>
          <c:showSerName val="0"/>
          <c:showPercent val="0"/>
          <c:showBubbleSize val="0"/>
        </c:dLbls>
        <c:axId val="499374440"/>
        <c:axId val="507208528"/>
      </c:scatterChart>
      <c:catAx>
        <c:axId val="430594304"/>
        <c:scaling>
          <c:orientation val="minMax"/>
        </c:scaling>
        <c:delete val="0"/>
        <c:axPos val="b"/>
        <c:numFmt formatCode="General" sourceLinked="1"/>
        <c:majorTickMark val="none"/>
        <c:minorTickMark val="none"/>
        <c:tickLblPos val="nextTo"/>
        <c:txPr>
          <a:bodyPr/>
          <a:lstStyle/>
          <a:p>
            <a:pPr>
              <a:defRPr b="0" baseline="30000">
                <a:latin typeface="Times New Roman" pitchFamily="18" charset="0"/>
                <a:cs typeface="Times New Roman" pitchFamily="18" charset="0"/>
              </a:defRPr>
            </a:pPr>
            <a:endParaRPr lang="ru-RU"/>
          </a:p>
        </c:txPr>
        <c:crossAx val="433412912"/>
        <c:crosses val="autoZero"/>
        <c:auto val="1"/>
        <c:lblAlgn val="ctr"/>
        <c:lblOffset val="100"/>
        <c:noMultiLvlLbl val="0"/>
      </c:catAx>
      <c:valAx>
        <c:axId val="433412912"/>
        <c:scaling>
          <c:orientation val="minMax"/>
          <c:max val="5000"/>
          <c:min val="0"/>
        </c:scaling>
        <c:delete val="0"/>
        <c:axPos val="l"/>
        <c:title>
          <c:tx>
            <c:rich>
              <a:bodyPr/>
              <a:lstStyle/>
              <a:p>
                <a:pPr>
                  <a:defRPr sz="999" b="1" i="0" u="none" strike="noStrike" baseline="0">
                    <a:solidFill>
                      <a:srgbClr val="000000"/>
                    </a:solidFill>
                    <a:latin typeface="Times New Roman" panose="02020603050405020304" pitchFamily="18" charset="0"/>
                    <a:ea typeface="Times New Roman"/>
                    <a:cs typeface="Times New Roman" panose="02020603050405020304" pitchFamily="18" charset="0"/>
                  </a:defRPr>
                </a:pPr>
                <a:r>
                  <a:rPr lang="ru-RU">
                    <a:latin typeface="Times New Roman" panose="02020603050405020304" pitchFamily="18" charset="0"/>
                    <a:cs typeface="Times New Roman" panose="02020603050405020304" pitchFamily="18" charset="0"/>
                  </a:rPr>
                  <a:t>Млн.рублей</a:t>
                </a:r>
              </a:p>
            </c:rich>
          </c:tx>
          <c:layout>
            <c:manualLayout>
              <c:xMode val="edge"/>
              <c:yMode val="edge"/>
              <c:x val="3.2935720152453787E-2"/>
              <c:y val="0.25554981149177991"/>
            </c:manualLayout>
          </c:layout>
          <c:overlay val="0"/>
        </c:title>
        <c:numFmt formatCode="#,##0.0" sourceLinked="1"/>
        <c:majorTickMark val="none"/>
        <c:minorTickMark val="none"/>
        <c:tickLblPos val="none"/>
        <c:spPr>
          <a:ln w="9525"/>
        </c:spPr>
        <c:crossAx val="430594304"/>
        <c:crosses val="autoZero"/>
        <c:crossBetween val="between"/>
        <c:majorUnit val="400"/>
      </c:valAx>
      <c:valAx>
        <c:axId val="499374440"/>
        <c:scaling>
          <c:orientation val="minMax"/>
        </c:scaling>
        <c:delete val="1"/>
        <c:axPos val="b"/>
        <c:majorTickMark val="out"/>
        <c:minorTickMark val="none"/>
        <c:tickLblPos val="none"/>
        <c:crossAx val="507208528"/>
        <c:crosses val="autoZero"/>
        <c:crossBetween val="midCat"/>
      </c:valAx>
      <c:valAx>
        <c:axId val="507208528"/>
        <c:scaling>
          <c:orientation val="minMax"/>
        </c:scaling>
        <c:delete val="0"/>
        <c:axPos val="r"/>
        <c:numFmt formatCode="0.0%" sourceLinked="1"/>
        <c:majorTickMark val="none"/>
        <c:minorTickMark val="none"/>
        <c:tickLblPos val="none"/>
        <c:txPr>
          <a:bodyPr/>
          <a:lstStyle/>
          <a:p>
            <a:pPr>
              <a:defRPr>
                <a:solidFill>
                  <a:sysClr val="windowText" lastClr="000000"/>
                </a:solidFill>
              </a:defRPr>
            </a:pPr>
            <a:endParaRPr lang="ru-RU"/>
          </a:p>
        </c:txPr>
        <c:crossAx val="499374440"/>
        <c:crosses val="max"/>
        <c:crossBetween val="midCat"/>
      </c:valAx>
    </c:plotArea>
    <c:legend>
      <c:legendPos val="b"/>
      <c:layout>
        <c:manualLayout>
          <c:xMode val="edge"/>
          <c:yMode val="edge"/>
          <c:x val="6.5150212590652234E-2"/>
          <c:y val="0.87222749729813187"/>
          <c:w val="0.91175723468919789"/>
          <c:h val="3.3979094718423412E-2"/>
        </c:manualLayout>
      </c:layout>
      <c:overlay val="0"/>
      <c:txPr>
        <a:bodyPr/>
        <a:lstStyle/>
        <a:p>
          <a:pPr>
            <a:defRPr sz="800">
              <a:latin typeface="Times New Roman" pitchFamily="18" charset="0"/>
              <a:cs typeface="Times New Roman" pitchFamily="18" charset="0"/>
            </a:defRPr>
          </a:pPr>
          <a:endParaRPr lang="ru-RU"/>
        </a:p>
      </c:txPr>
    </c:legend>
    <c:plotVisOnly val="1"/>
    <c:dispBlanksAs val="zero"/>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0.37308</cdr:x>
      <cdr:y>0.61384</cdr:y>
    </cdr:from>
    <cdr:to>
      <cdr:x>0.4552</cdr:x>
      <cdr:y>0.66265</cdr:y>
    </cdr:to>
    <cdr:sp macro="" textlink="">
      <cdr:nvSpPr>
        <cdr:cNvPr id="3" name="Надпись 2"/>
        <cdr:cNvSpPr txBox="1">
          <a:spLocks xmlns:a="http://schemas.openxmlformats.org/drawingml/2006/main" noChangeArrowheads="1"/>
        </cdr:cNvSpPr>
      </cdr:nvSpPr>
      <cdr:spPr bwMode="auto">
        <a:xfrm xmlns:a="http://schemas.openxmlformats.org/drawingml/2006/main">
          <a:off x="3173095" y="3362325"/>
          <a:ext cx="698500" cy="26733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0.19881</cdr:x>
      <cdr:y>0.41528</cdr:y>
    </cdr:from>
    <cdr:to>
      <cdr:x>0.29301</cdr:x>
      <cdr:y>0.45294</cdr:y>
    </cdr:to>
    <cdr:sp macro="" textlink="">
      <cdr:nvSpPr>
        <cdr:cNvPr id="6" name="Прямоугольник 5"/>
        <cdr:cNvSpPr/>
      </cdr:nvSpPr>
      <cdr:spPr>
        <a:xfrm xmlns:a="http://schemas.openxmlformats.org/drawingml/2006/main">
          <a:off x="1833657" y="2405767"/>
          <a:ext cx="868842" cy="218168"/>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ru-RU" sz="800">
              <a:solidFill>
                <a:sysClr val="windowText" lastClr="000000"/>
              </a:solidFill>
              <a:latin typeface="Times New Roman" panose="02020603050405020304" pitchFamily="18" charset="0"/>
              <a:cs typeface="Times New Roman" panose="02020603050405020304" pitchFamily="18" charset="0"/>
            </a:rPr>
            <a:t>МБ  199,2</a:t>
          </a:r>
        </a:p>
      </cdr:txBody>
    </cdr:sp>
  </cdr:relSizeAnchor>
  <cdr:relSizeAnchor xmlns:cdr="http://schemas.openxmlformats.org/drawingml/2006/chartDrawing">
    <cdr:from>
      <cdr:x>0.74354</cdr:x>
      <cdr:y>0.4872</cdr:y>
    </cdr:from>
    <cdr:to>
      <cdr:x>0.83773</cdr:x>
      <cdr:y>0.52486</cdr:y>
    </cdr:to>
    <cdr:sp macro="" textlink="">
      <cdr:nvSpPr>
        <cdr:cNvPr id="7" name="Прямоугольник 6"/>
        <cdr:cNvSpPr/>
      </cdr:nvSpPr>
      <cdr:spPr>
        <a:xfrm xmlns:a="http://schemas.openxmlformats.org/drawingml/2006/main">
          <a:off x="6857956" y="2822405"/>
          <a:ext cx="868749" cy="218168"/>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r>
            <a:rPr lang="ru-RU" sz="800">
              <a:solidFill>
                <a:sysClr val="windowText" lastClr="000000"/>
              </a:solidFill>
              <a:latin typeface="Times New Roman" panose="02020603050405020304" pitchFamily="18" charset="0"/>
              <a:cs typeface="Times New Roman" panose="02020603050405020304" pitchFamily="18" charset="0"/>
            </a:rPr>
            <a:t>МБ  328,6</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745626-A2C4-473A-B438-9FEEFFBAF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2945</TotalTime>
  <Pages>13</Pages>
  <Words>3268</Words>
  <Characters>18630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Максимов А.П.</dc:creator>
  <cp:keywords/>
  <dc:description/>
  <cp:lastModifiedBy>Пашинцева В.С.</cp:lastModifiedBy>
  <cp:revision>96</cp:revision>
  <cp:lastPrinted>2023-04-13T14:17:00Z</cp:lastPrinted>
  <dcterms:created xsi:type="dcterms:W3CDTF">2022-05-31T08:25:00Z</dcterms:created>
  <dcterms:modified xsi:type="dcterms:W3CDTF">2024-05-16T18:35:00Z</dcterms:modified>
</cp:coreProperties>
</file>