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Gen0"/>
        <w:tblW w:w="97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37"/>
        <w:gridCol w:w="4103"/>
      </w:tblGrid>
      <w:tr w:rsidR="00C347D1">
        <w:trPr>
          <w:cantSplit/>
          <w:tblHeader/>
        </w:trPr>
        <w:tc>
          <w:tcPr>
            <w:tcW w:w="5637" w:type="dxa"/>
            <w:noWrap/>
          </w:tcPr>
          <w:p w:rsidR="00C347D1" w:rsidRDefault="00C347D1">
            <w:pPr>
              <w:pStyle w:val="14"/>
              <w:widowControl w:val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103" w:type="dxa"/>
            <w:noWrap/>
          </w:tcPr>
          <w:p w:rsidR="00C347D1" w:rsidRDefault="00E91D47">
            <w:pPr>
              <w:pStyle w:val="14"/>
              <w:widowControl w:val="0"/>
              <w:ind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УТВЕРЖДЕНЫ</w:t>
            </w:r>
            <w:proofErr w:type="gramEnd"/>
          </w:p>
        </w:tc>
      </w:tr>
      <w:tr w:rsidR="00C347D1">
        <w:trPr>
          <w:cantSplit/>
          <w:tblHeader/>
        </w:trPr>
        <w:tc>
          <w:tcPr>
            <w:tcW w:w="5637" w:type="dxa"/>
            <w:noWrap/>
          </w:tcPr>
          <w:p w:rsidR="00C347D1" w:rsidRDefault="00C347D1">
            <w:pPr>
              <w:pStyle w:val="14"/>
              <w:widowControl w:val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103" w:type="dxa"/>
            <w:noWrap/>
          </w:tcPr>
          <w:p w:rsidR="00C347D1" w:rsidRDefault="00E91D47">
            <w:pPr>
              <w:pStyle w:val="14"/>
              <w:widowControl w:val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Правительства Мурманской области </w:t>
            </w:r>
          </w:p>
          <w:p w:rsidR="00C347D1" w:rsidRPr="001F0C46" w:rsidRDefault="00E91D47" w:rsidP="001F0C46">
            <w:pPr>
              <w:pStyle w:val="14"/>
              <w:widowControl w:val="0"/>
              <w:ind w:firstLine="0"/>
              <w:jc w:val="lef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0C46">
              <w:rPr>
                <w:sz w:val="28"/>
                <w:szCs w:val="28"/>
                <w:u w:val="single"/>
              </w:rPr>
              <w:t xml:space="preserve"> 29.10.2024 </w:t>
            </w:r>
            <w:r>
              <w:rPr>
                <w:sz w:val="28"/>
                <w:szCs w:val="28"/>
              </w:rPr>
              <w:t xml:space="preserve"> № </w:t>
            </w:r>
            <w:r w:rsidR="001F0C46">
              <w:rPr>
                <w:sz w:val="28"/>
                <w:szCs w:val="28"/>
                <w:u w:val="single"/>
              </w:rPr>
              <w:t xml:space="preserve"> 720-ПП</w:t>
            </w:r>
            <w:bookmarkStart w:id="0" w:name="_GoBack"/>
            <w:bookmarkEnd w:id="0"/>
          </w:p>
        </w:tc>
      </w:tr>
    </w:tbl>
    <w:p w:rsidR="00C347D1" w:rsidRDefault="00C347D1">
      <w:pPr>
        <w:pStyle w:val="14"/>
        <w:widowControl w:val="0"/>
        <w:jc w:val="center"/>
        <w:rPr>
          <w:b/>
          <w:sz w:val="28"/>
          <w:szCs w:val="28"/>
        </w:rPr>
      </w:pPr>
    </w:p>
    <w:p w:rsidR="00C347D1" w:rsidRDefault="00C347D1">
      <w:pPr>
        <w:pStyle w:val="14"/>
        <w:widowControl w:val="0"/>
        <w:jc w:val="center"/>
        <w:rPr>
          <w:b/>
          <w:sz w:val="28"/>
          <w:szCs w:val="28"/>
        </w:rPr>
      </w:pPr>
    </w:p>
    <w:p w:rsidR="00C347D1" w:rsidRDefault="00C347D1">
      <w:pPr>
        <w:pStyle w:val="14"/>
        <w:widowControl w:val="0"/>
        <w:jc w:val="center"/>
        <w:rPr>
          <w:b/>
          <w:sz w:val="28"/>
          <w:szCs w:val="28"/>
        </w:rPr>
      </w:pPr>
    </w:p>
    <w:p w:rsidR="00C347D1" w:rsidRDefault="00C347D1">
      <w:pPr>
        <w:pStyle w:val="14"/>
        <w:widowControl w:val="0"/>
        <w:ind w:firstLine="0"/>
        <w:jc w:val="center"/>
        <w:rPr>
          <w:b/>
          <w:bCs/>
          <w:sz w:val="28"/>
          <w:szCs w:val="28"/>
        </w:rPr>
      </w:pPr>
    </w:p>
    <w:p w:rsidR="00C347D1" w:rsidRDefault="00E91D47">
      <w:pPr>
        <w:pStyle w:val="14"/>
        <w:widowControl w:val="0"/>
        <w:ind w:firstLine="0"/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Основные</w:t>
      </w:r>
      <w:proofErr w:type="gramEnd"/>
      <w:r>
        <w:rPr>
          <w:b/>
          <w:sz w:val="28"/>
          <w:szCs w:val="28"/>
        </w:rPr>
        <w:t xml:space="preserve"> направления налоговой политики Мурманской области на 2025 год и плановый период 2026 и 2027 годов </w:t>
      </w:r>
    </w:p>
    <w:p w:rsidR="00C347D1" w:rsidRDefault="00C347D1">
      <w:pPr>
        <w:pStyle w:val="14"/>
        <w:widowControl w:val="0"/>
        <w:rPr>
          <w:sz w:val="28"/>
          <w:szCs w:val="28"/>
        </w:rPr>
      </w:pPr>
    </w:p>
    <w:p w:rsidR="00C347D1" w:rsidRDefault="00C347D1">
      <w:pPr>
        <w:pStyle w:val="14"/>
        <w:widowControl w:val="0"/>
        <w:rPr>
          <w:sz w:val="28"/>
          <w:szCs w:val="28"/>
        </w:rPr>
      </w:pPr>
    </w:p>
    <w:p w:rsidR="00C347D1" w:rsidRDefault="00E91D47">
      <w:pPr>
        <w:pStyle w:val="14"/>
        <w:widowControl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1. Общие положения</w:t>
      </w:r>
    </w:p>
    <w:p w:rsidR="00C347D1" w:rsidRDefault="00C347D1">
      <w:pPr>
        <w:pStyle w:val="14"/>
        <w:widowControl w:val="0"/>
        <w:ind w:left="900"/>
        <w:rPr>
          <w:sz w:val="28"/>
          <w:szCs w:val="28"/>
        </w:rPr>
      </w:pP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proofErr w:type="gramStart"/>
      <w:r>
        <w:rPr>
          <w:color w:val="000000" w:themeColor="text1"/>
          <w:sz w:val="28"/>
          <w:szCs w:val="28"/>
          <w:highlight w:val="white"/>
        </w:rPr>
        <w:t xml:space="preserve">Основные направления налоговой политики Мурманской области на 2025 год и плановый период 2026 и 2027 годов разработаны в соответствии с Бюджетным кодексом Российской Федерации, Законами Мурманской области от 11.12.2007 № 919-01-ЗМО «О бюджетном процессе в </w:t>
      </w:r>
      <w:r>
        <w:rPr>
          <w:color w:val="000000" w:themeColor="text1"/>
          <w:sz w:val="28"/>
          <w:szCs w:val="28"/>
          <w:highlight w:val="white"/>
        </w:rPr>
        <w:t xml:space="preserve">Мурманской области», от 19.12.2014 № 1817-01-ЗМО «О стратегическом планировании в Мурманской области», с учетом итогов реализации налоговой политики за предыдущие периоды. </w:t>
      </w:r>
      <w:proofErr w:type="gramEnd"/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При подготовке основных направлений налоговой политики учтены положения Указа Прези</w:t>
      </w:r>
      <w:r>
        <w:rPr>
          <w:color w:val="000000" w:themeColor="text1"/>
          <w:sz w:val="28"/>
          <w:szCs w:val="28"/>
          <w:highlight w:val="white"/>
        </w:rPr>
        <w:t xml:space="preserve">дента Российской Федерации от 07.05.2024 № 309 «О национальных целях развития Российской Федерации на период до 2030 года </w:t>
      </w:r>
      <w:proofErr w:type="gramStart"/>
      <w:r>
        <w:rPr>
          <w:color w:val="000000" w:themeColor="text1"/>
          <w:sz w:val="28"/>
          <w:szCs w:val="28"/>
          <w:highlight w:val="white"/>
        </w:rPr>
        <w:t>и на перспективу до 2036 года», приоритеты социально-экономической политики, определенные в документах стратегического планирования Ро</w:t>
      </w:r>
      <w:r>
        <w:rPr>
          <w:color w:val="000000" w:themeColor="text1"/>
          <w:sz w:val="28"/>
          <w:szCs w:val="28"/>
          <w:highlight w:val="white"/>
        </w:rPr>
        <w:t>ссийской Федерации, в частности в Стратегии развития Арктической зоны Российской Федерации и обеспечения национальной безопасности на период до 2035 года, утвержденной Указом Президента Российской Федерации от 26.10.2020 № 645, документах стратегического п</w:t>
      </w:r>
      <w:r>
        <w:rPr>
          <w:color w:val="000000" w:themeColor="text1"/>
          <w:sz w:val="28"/>
          <w:szCs w:val="28"/>
          <w:highlight w:val="white"/>
        </w:rPr>
        <w:t>ланирования Мурманской области.</w:t>
      </w:r>
      <w:proofErr w:type="gramEnd"/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Кроме того, учтены цели, приоритеты и задачи, определенные Планом мероприятий «НА СЕВЕРЕ – ЖИТЬ!».</w:t>
      </w: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proofErr w:type="gramStart"/>
      <w:r>
        <w:rPr>
          <w:color w:val="000000" w:themeColor="text1"/>
          <w:sz w:val="28"/>
          <w:szCs w:val="28"/>
          <w:highlight w:val="white"/>
        </w:rPr>
        <w:t xml:space="preserve">Целью разработки основных направлений налоговой политики является определение условий, используемых при составлении проектов </w:t>
      </w:r>
      <w:r>
        <w:rPr>
          <w:color w:val="000000" w:themeColor="text1"/>
          <w:sz w:val="28"/>
          <w:szCs w:val="28"/>
          <w:highlight w:val="white"/>
        </w:rPr>
        <w:t>областного бюджета и местных бюджетов, учитывающих преемственность ранее поставленных задач по укреплению налогового потенциала Мурманской области и обеспечению роста доходной части консолидированного бюджета региона, развитию налогового потенциала региона</w:t>
      </w:r>
      <w:r>
        <w:rPr>
          <w:color w:val="000000" w:themeColor="text1"/>
          <w:sz w:val="28"/>
          <w:szCs w:val="28"/>
          <w:highlight w:val="white"/>
        </w:rPr>
        <w:t>.</w:t>
      </w:r>
      <w:proofErr w:type="gramEnd"/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Ориентиром региональной налоговой политики в трехлетней перспективе с учетом внешних и внутренних условий развития экономики будет реализация стратегических приоритетов, способствующих:</w:t>
      </w: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rStyle w:val="s2"/>
          <w:rFonts w:eastAsia="Calibri"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- стимулированию инвестиционной активности инвесторов, в том числе в</w:t>
      </w:r>
      <w:r>
        <w:rPr>
          <w:color w:val="000000" w:themeColor="text1"/>
          <w:sz w:val="28"/>
          <w:szCs w:val="28"/>
          <w:highlight w:val="white"/>
        </w:rPr>
        <w:t xml:space="preserve"> рамках</w:t>
      </w:r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 xml:space="preserve"> преференциальных режимов для резидентов Арктической зоны Российской Федерации, территории </w:t>
      </w:r>
      <w:proofErr w:type="gramStart"/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>опережающего</w:t>
      </w:r>
      <w:proofErr w:type="gramEnd"/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 xml:space="preserve"> развития «Столица </w:t>
      </w:r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lastRenderedPageBreak/>
        <w:t>Арктики»;</w:t>
      </w: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- стимулированию предпринимательской активности </w:t>
      </w:r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>в приоритетных направлениях развития малого и среднего бизнеса;</w:t>
      </w: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  <w:shd w:val="clear" w:color="auto" w:fill="FDFDFD"/>
        </w:rPr>
      </w:pPr>
      <w:r>
        <w:rPr>
          <w:color w:val="000000" w:themeColor="text1"/>
          <w:sz w:val="28"/>
          <w:szCs w:val="28"/>
          <w:highlight w:val="white"/>
          <w:shd w:val="clear" w:color="auto" w:fill="FDFDFD"/>
        </w:rPr>
        <w:t>- соц</w:t>
      </w:r>
      <w:r>
        <w:rPr>
          <w:color w:val="000000" w:themeColor="text1"/>
          <w:sz w:val="28"/>
          <w:szCs w:val="28"/>
          <w:highlight w:val="white"/>
          <w:shd w:val="clear" w:color="auto" w:fill="FDFDFD"/>
        </w:rPr>
        <w:t>иальной поддержке граждан в меняющихся современных условиях;</w:t>
      </w: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  <w:shd w:val="clear" w:color="auto" w:fill="FDFDFD"/>
        </w:rPr>
        <w:t xml:space="preserve">- </w:t>
      </w:r>
      <w:r>
        <w:rPr>
          <w:color w:val="000000" w:themeColor="text1"/>
          <w:sz w:val="28"/>
          <w:szCs w:val="28"/>
          <w:highlight w:val="white"/>
        </w:rPr>
        <w:t>созданию условий для обеспечения устойчивости бюджетной системы региона.</w:t>
      </w:r>
    </w:p>
    <w:p w:rsidR="00C347D1" w:rsidRDefault="00C347D1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rPr>
          <w:color w:val="000000" w:themeColor="text1"/>
          <w:sz w:val="28"/>
          <w:szCs w:val="28"/>
          <w:highlight w:val="white"/>
        </w:rPr>
      </w:pPr>
    </w:p>
    <w:p w:rsidR="00C347D1" w:rsidRDefault="00E91D47">
      <w:pPr>
        <w:pStyle w:val="af9"/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ind w:left="0" w:firstLine="0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2. Итоги реализации </w:t>
      </w:r>
      <w:proofErr w:type="gramStart"/>
      <w:r>
        <w:rPr>
          <w:color w:val="000000" w:themeColor="text1"/>
          <w:sz w:val="28"/>
          <w:szCs w:val="28"/>
          <w:highlight w:val="white"/>
        </w:rPr>
        <w:t>налоговой</w:t>
      </w:r>
      <w:proofErr w:type="gramEnd"/>
      <w:r>
        <w:rPr>
          <w:color w:val="000000" w:themeColor="text1"/>
          <w:sz w:val="28"/>
          <w:szCs w:val="28"/>
          <w:highlight w:val="white"/>
        </w:rPr>
        <w:t xml:space="preserve"> политики</w:t>
      </w:r>
    </w:p>
    <w:p w:rsidR="00C347D1" w:rsidRDefault="00E91D47"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Реализация комплекса мер налогового регулирования в 2023 году была направлена на</w:t>
      </w:r>
      <w:r>
        <w:rPr>
          <w:color w:val="000000" w:themeColor="text1"/>
          <w:sz w:val="28"/>
          <w:szCs w:val="28"/>
          <w:highlight w:val="white"/>
        </w:rPr>
        <w:t xml:space="preserve"> создание благоприятных условий для привлечения инвестиций в регион, на реализацию важнейших для экономики региона проектов и поддержку малого и среднего бизнеса.</w:t>
      </w:r>
    </w:p>
    <w:p w:rsidR="00C347D1" w:rsidRDefault="00E91D47"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Результатом является реализация масштабных инвестиционных проектов, в том числе новых инвести</w:t>
      </w:r>
      <w:r>
        <w:rPr>
          <w:color w:val="000000" w:themeColor="text1"/>
          <w:sz w:val="28"/>
          <w:szCs w:val="28"/>
          <w:highlight w:val="white"/>
        </w:rPr>
        <w:t xml:space="preserve">ционных проектов резидентами </w:t>
      </w:r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 xml:space="preserve">территории </w:t>
      </w:r>
      <w:proofErr w:type="gramStart"/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>опережающего</w:t>
      </w:r>
      <w:proofErr w:type="gramEnd"/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 xml:space="preserve"> социально-экономического развития «Столица Арктики» и Арктической зоны Российской Федерации, а также </w:t>
      </w:r>
      <w:r>
        <w:rPr>
          <w:color w:val="000000" w:themeColor="text1"/>
          <w:sz w:val="28"/>
          <w:szCs w:val="28"/>
          <w:highlight w:val="white"/>
        </w:rPr>
        <w:t>рост предпринимательской активности в регионе.</w:t>
      </w:r>
    </w:p>
    <w:p w:rsidR="00C347D1" w:rsidRDefault="00E91D47"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На сегодняшний день Мурманская область – лидер по количеству резидентов Арктической зоны Российской Федерации, в настоящее время в регионе их зарегистрировано уже 272, в рамках первой в Арктической зоне Российской Федерации ТОР «Столица Арктики» – 8, и лид</w:t>
      </w:r>
      <w:r>
        <w:rPr>
          <w:color w:val="000000" w:themeColor="text1"/>
          <w:sz w:val="28"/>
          <w:szCs w:val="28"/>
          <w:highlight w:val="white"/>
        </w:rPr>
        <w:t xml:space="preserve">ер по объему вложенных резидентами АЗРФ инвестиций. Благодаря двум преференциальным режимам резидентами в Мурманской области фактически вложено  в реализацию проектов более 226 </w:t>
      </w:r>
      <w:proofErr w:type="gramStart"/>
      <w:r>
        <w:rPr>
          <w:color w:val="000000" w:themeColor="text1"/>
          <w:sz w:val="28"/>
          <w:szCs w:val="28"/>
          <w:highlight w:val="white"/>
        </w:rPr>
        <w:t>млрд</w:t>
      </w:r>
      <w:proofErr w:type="gramEnd"/>
      <w:r>
        <w:rPr>
          <w:color w:val="000000" w:themeColor="text1"/>
          <w:sz w:val="28"/>
          <w:szCs w:val="28"/>
          <w:highlight w:val="white"/>
        </w:rPr>
        <w:t xml:space="preserve"> рублей, создано порядка 5,7 тыс. рабочих мест.</w:t>
      </w:r>
    </w:p>
    <w:p w:rsidR="00C347D1" w:rsidRDefault="00E91D47"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По размеру ВРП на душу насе</w:t>
      </w:r>
      <w:r>
        <w:rPr>
          <w:color w:val="000000" w:themeColor="text1"/>
          <w:sz w:val="28"/>
          <w:szCs w:val="28"/>
          <w:highlight w:val="white"/>
        </w:rPr>
        <w:t xml:space="preserve">ления Мурманская область поднялась с 14 места в 2018 году и вошла в топ-10 регионов России. </w:t>
      </w:r>
    </w:p>
    <w:p w:rsidR="00C347D1" w:rsidRDefault="00E91D47"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Производительность труда в Мурманской области за 2019 - 2022 годы выросла в 1,2 раза (123 %, 4 место по стране), в среднем по России – рост на 3 %.</w:t>
      </w:r>
    </w:p>
    <w:p w:rsidR="00C347D1" w:rsidRDefault="00E91D47">
      <w:pPr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За 2019-2023 го</w:t>
      </w:r>
      <w:r>
        <w:rPr>
          <w:color w:val="000000" w:themeColor="text1"/>
          <w:sz w:val="28"/>
          <w:szCs w:val="28"/>
          <w:highlight w:val="white"/>
        </w:rPr>
        <w:t>ды в развитие Мурманской области инв</w:t>
      </w:r>
      <w:r>
        <w:rPr>
          <w:sz w:val="28"/>
          <w:szCs w:val="28"/>
          <w:highlight w:val="white"/>
        </w:rPr>
        <w:t xml:space="preserve">естировано порядка 1,2 триллиона рублей. </w:t>
      </w:r>
    </w:p>
    <w:p w:rsidR="00C347D1" w:rsidRDefault="00E91D47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Инвестиционный портфель Мурманской области включает более 300 проектов.</w:t>
      </w:r>
    </w:p>
    <w:p w:rsidR="00C347D1" w:rsidRDefault="00E91D47">
      <w:pPr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Сохраняется бюджетная эффективность налоговых преференций, предоставленных организациям, реализующим страт</w:t>
      </w:r>
      <w:r>
        <w:rPr>
          <w:sz w:val="28"/>
          <w:szCs w:val="28"/>
          <w:highlight w:val="white"/>
        </w:rPr>
        <w:t>егические и приоритетные инвестиционные проекты Мурманской области, рассчитанная путем сопоставления доходов и расходов областного бюджета, связанных с реализацией инвестиционного проекта, в соответствии с Методикой оценки эффективности инвестиционных прое</w:t>
      </w:r>
      <w:r>
        <w:rPr>
          <w:sz w:val="28"/>
          <w:szCs w:val="28"/>
          <w:highlight w:val="white"/>
        </w:rPr>
        <w:t>ктов, претендующих на меры государственной поддержки, прилагаемой к Порядку рассмотрения инвестиционных проектов Мурманской области, претендующих на меры государственной поддержки, утвержденному постановлением Правительства Мурманской области от</w:t>
      </w:r>
      <w:proofErr w:type="gramEnd"/>
      <w:r>
        <w:rPr>
          <w:sz w:val="28"/>
          <w:szCs w:val="28"/>
          <w:highlight w:val="white"/>
        </w:rPr>
        <w:t xml:space="preserve"> 23.07.2014</w:t>
      </w:r>
      <w:r>
        <w:rPr>
          <w:sz w:val="28"/>
          <w:szCs w:val="28"/>
          <w:highlight w:val="white"/>
        </w:rPr>
        <w:t xml:space="preserve"> № 386-ПП.</w:t>
      </w:r>
    </w:p>
    <w:p w:rsidR="00C347D1" w:rsidRDefault="00E91D47">
      <w:pPr>
        <w:rPr>
          <w:sz w:val="28"/>
          <w:szCs w:val="28"/>
          <w:highlight w:val="white"/>
        </w:rPr>
      </w:pPr>
      <w:r>
        <w:rPr>
          <w:rStyle w:val="s2"/>
          <w:rFonts w:eastAsia="Calibri"/>
          <w:sz w:val="28"/>
          <w:szCs w:val="28"/>
          <w:highlight w:val="white"/>
        </w:rPr>
        <w:lastRenderedPageBreak/>
        <w:t>По итогам 2023 года к</w:t>
      </w:r>
      <w:r>
        <w:rPr>
          <w:sz w:val="28"/>
          <w:szCs w:val="28"/>
          <w:highlight w:val="white"/>
        </w:rPr>
        <w:t xml:space="preserve">оличество зарегистрированных в </w:t>
      </w:r>
      <w:proofErr w:type="gramStart"/>
      <w:r>
        <w:rPr>
          <w:sz w:val="28"/>
          <w:szCs w:val="28"/>
          <w:highlight w:val="white"/>
        </w:rPr>
        <w:t>регионе</w:t>
      </w:r>
      <w:proofErr w:type="gramEnd"/>
      <w:r>
        <w:rPr>
          <w:sz w:val="28"/>
          <w:szCs w:val="28"/>
          <w:highlight w:val="white"/>
        </w:rPr>
        <w:t xml:space="preserve"> субъектов малого и среднего предпринимательства составило 25,9 тыс. единиц </w:t>
      </w:r>
      <w:r>
        <w:rPr>
          <w:sz w:val="28"/>
          <w:szCs w:val="28"/>
          <w:highlight w:val="white"/>
        </w:rPr>
        <w:t xml:space="preserve">(рост к 2022 году на 4,3 %). Численность занятых в сфере малого и среднего предпринимательства по итогам 2023 года составила 105,6 тыс. человек и увеличилась по сравнению с 2022 годом на 7,9 %. </w:t>
      </w:r>
    </w:p>
    <w:p w:rsidR="00C347D1" w:rsidRDefault="00E91D47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этом объем налоговых платежей в 2023 году от уплаты налог</w:t>
      </w:r>
      <w:r>
        <w:rPr>
          <w:sz w:val="28"/>
          <w:szCs w:val="28"/>
          <w:highlight w:val="white"/>
        </w:rPr>
        <w:t xml:space="preserve">а, взимаемого в связи с применением упрощенной системы налогообложения, возрос по сравнению с поступлениями 2022 года на 11 %, или на 214 </w:t>
      </w:r>
      <w:proofErr w:type="gramStart"/>
      <w:r>
        <w:rPr>
          <w:sz w:val="28"/>
          <w:szCs w:val="28"/>
          <w:highlight w:val="white"/>
        </w:rPr>
        <w:t>млн</w:t>
      </w:r>
      <w:proofErr w:type="gramEnd"/>
      <w:r>
        <w:rPr>
          <w:sz w:val="28"/>
          <w:szCs w:val="28"/>
          <w:highlight w:val="white"/>
        </w:rPr>
        <w:t xml:space="preserve"> рублей, и составил 2 145 млн рублей, что на 11,4 % превысило уровень поступлений за 2019 год (до установления пони</w:t>
      </w:r>
      <w:r>
        <w:rPr>
          <w:sz w:val="28"/>
          <w:szCs w:val="28"/>
          <w:highlight w:val="white"/>
        </w:rPr>
        <w:t xml:space="preserve">женных налоговых ставок для налогоплательщиков, применяющих упрощенную систему налогообложения, зарегистрированных </w:t>
      </w:r>
      <w:proofErr w:type="gramStart"/>
      <w:r>
        <w:rPr>
          <w:sz w:val="28"/>
          <w:szCs w:val="28"/>
          <w:highlight w:val="white"/>
        </w:rPr>
        <w:t>и осуществляющих деятельность на территории Мурманской области, без ограничений по видам экономической деятельности).</w:t>
      </w:r>
      <w:proofErr w:type="gramEnd"/>
    </w:p>
    <w:p w:rsidR="00C347D1" w:rsidRDefault="00C347D1">
      <w:pPr>
        <w:rPr>
          <w:sz w:val="28"/>
          <w:szCs w:val="28"/>
        </w:rPr>
      </w:pPr>
    </w:p>
    <w:p w:rsidR="00C347D1" w:rsidRDefault="00C347D1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ind w:firstLine="0"/>
        <w:jc w:val="center"/>
        <w:rPr>
          <w:sz w:val="28"/>
          <w:szCs w:val="28"/>
        </w:rPr>
      </w:pPr>
    </w:p>
    <w:p w:rsidR="00C347D1" w:rsidRDefault="00E91D47">
      <w:pPr>
        <w:widowControl w:val="0"/>
        <w:pBdr>
          <w:top w:val="single" w:sz="4" w:space="0" w:color="FFFFFF"/>
          <w:left w:val="single" w:sz="4" w:space="0" w:color="FFFFFF"/>
          <w:bottom w:val="single" w:sz="4" w:space="15" w:color="FFFFFF"/>
          <w:right w:val="single" w:sz="4" w:space="4" w:color="FFFFFF"/>
        </w:pBd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 Перечень основных </w:t>
      </w:r>
      <w:r>
        <w:rPr>
          <w:sz w:val="28"/>
          <w:szCs w:val="28"/>
        </w:rPr>
        <w:t>мероприятий, направленных на укрепление и развитие налогового потенциала Мурманской области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sz w:val="28"/>
          <w:szCs w:val="28"/>
        </w:rPr>
        <w:t>Укрепление и развитие налогового потенциала Мурманской области будет осуществляться за счет решения приоритетных задач, предусматривающих: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1) выявление негативных т</w:t>
      </w:r>
      <w:r>
        <w:rPr>
          <w:sz w:val="28"/>
          <w:szCs w:val="28"/>
        </w:rPr>
        <w:t>енденций изменения доходов консолидированного бюджета Мурманской области, проведение мероприятий по наращиванию налогооблагаемой базы для пополнения бюджета и определению дополнительных источников налоговых поступлений;</w:t>
      </w:r>
      <w:proofErr w:type="gramEnd"/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2) определение при необходимости </w:t>
      </w:r>
      <w:proofErr w:type="gramStart"/>
      <w:r>
        <w:rPr>
          <w:sz w:val="28"/>
          <w:szCs w:val="28"/>
        </w:rPr>
        <w:t>мер</w:t>
      </w:r>
      <w:r>
        <w:rPr>
          <w:sz w:val="28"/>
          <w:szCs w:val="28"/>
        </w:rPr>
        <w:t xml:space="preserve"> поддержки экономики региона</w:t>
      </w:r>
      <w:proofErr w:type="gramEnd"/>
      <w:r>
        <w:rPr>
          <w:sz w:val="28"/>
          <w:szCs w:val="28"/>
        </w:rPr>
        <w:t xml:space="preserve"> при выявлении негативных факторов (рисков), влияющих на устойчивую работу соответствующих хозяйствующих субъектов, осуществляющих деятельность на территории Мурманской области в условиях внешнего санкционного давления;</w:t>
      </w:r>
    </w:p>
    <w:p w:rsidR="00C347D1" w:rsidRDefault="00E91D47">
      <w:pPr>
        <w:pStyle w:val="17"/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3) совер</w:t>
      </w:r>
      <w:r>
        <w:rPr>
          <w:sz w:val="28"/>
          <w:szCs w:val="28"/>
        </w:rPr>
        <w:t>шенствование мер поддержки отдельных категорий граждан, в том числе семей с детьми, участников специальной военной операции и членов их семей, а также соблюдение принципа неухудшения условий применения действующих налоговых льгот для данных категорий гражд</w:t>
      </w:r>
      <w:r>
        <w:rPr>
          <w:sz w:val="28"/>
          <w:szCs w:val="28"/>
        </w:rPr>
        <w:t>ан в случаях, когда субъекту Российской Федерации дано право соответствующего регулирования;</w:t>
      </w:r>
      <w:proofErr w:type="gramEnd"/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4) предоставление отдельных налоговых льгот для субъектов экономики по налогам, подлежащим зачислению в областной бюджет, с использованием правила «двух ключей» пр</w:t>
      </w:r>
      <w:r>
        <w:rPr>
          <w:sz w:val="28"/>
          <w:szCs w:val="28"/>
        </w:rPr>
        <w:t>и условии соответствия целей предоставления таких налоговых льгот целям государственных программ;</w:t>
      </w:r>
      <w:r>
        <w:rPr>
          <w:color w:val="000000" w:themeColor="text1"/>
          <w:sz w:val="28"/>
          <w:szCs w:val="28"/>
        </w:rPr>
        <w:t xml:space="preserve"> </w:t>
      </w:r>
      <w:proofErr w:type="gramEnd"/>
    </w:p>
    <w:p w:rsidR="00C347D1" w:rsidRDefault="00E91D47">
      <w:pPr>
        <w:pStyle w:val="24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5) продолжение работы с организациями, реализ</w:t>
      </w:r>
      <w:r>
        <w:rPr>
          <w:sz w:val="28"/>
          <w:szCs w:val="28"/>
        </w:rPr>
        <w:t xml:space="preserve">ующими на территории Мурманской области крупные инфраструктурные инвестиционные проекты, по привлечению к </w:t>
      </w:r>
      <w:r>
        <w:rPr>
          <w:color w:val="000000"/>
          <w:sz w:val="28"/>
          <w:szCs w:val="28"/>
          <w:shd w:val="clear" w:color="auto" w:fill="FFFFFF"/>
        </w:rPr>
        <w:t>создан</w:t>
      </w:r>
      <w:r>
        <w:rPr>
          <w:color w:val="000000"/>
          <w:sz w:val="28"/>
          <w:szCs w:val="28"/>
          <w:shd w:val="clear" w:color="auto" w:fill="FFFFFF"/>
        </w:rPr>
        <w:t xml:space="preserve">ию на территории Мурманской области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обособленных подразделений на весь период выполнения работ </w:t>
      </w:r>
      <w:r>
        <w:rPr>
          <w:sz w:val="28"/>
          <w:szCs w:val="28"/>
        </w:rPr>
        <w:t>при заключении новых договоров подряда с иногородними подрядчиками;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6) ежегодное установление коэффициента, отражающего региональные особенности рынка труда, в ц</w:t>
      </w:r>
      <w:r>
        <w:rPr>
          <w:sz w:val="28"/>
          <w:szCs w:val="28"/>
        </w:rPr>
        <w:t>елях исчисления фиксированного авансового платежа по налогу на доходы физических лиц для иностранных работников, осуществляющих трудовую деятельность на территории Мурманской области на основании патента;</w:t>
      </w:r>
      <w:proofErr w:type="gramEnd"/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7) совершенствование механизмов налогообложения и п</w:t>
      </w:r>
      <w:r>
        <w:rPr>
          <w:color w:val="000000" w:themeColor="text1"/>
          <w:sz w:val="28"/>
          <w:szCs w:val="28"/>
        </w:rPr>
        <w:t>родо</w:t>
      </w:r>
      <w:r>
        <w:rPr>
          <w:sz w:val="28"/>
          <w:szCs w:val="28"/>
        </w:rPr>
        <w:t>лжение работы по вовлечению в налоговый оборот отдельных объектов недвижимости, в отношении которых налог на имущество организаций исчисляется исходя из кадастровой стоимости;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sz w:val="28"/>
          <w:szCs w:val="28"/>
        </w:rPr>
        <w:t>8) продолжение работы по инвентаризации и оптимизации имущества областной со</w:t>
      </w:r>
      <w:r>
        <w:rPr>
          <w:sz w:val="28"/>
          <w:szCs w:val="28"/>
        </w:rPr>
        <w:t>бственности, вовлечению в хозяйственный оборот неиспользуемых объектов недвижимости;</w:t>
      </w:r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9) продолжение работы, направленной на расширение налоговой базы по имущественным налогам, в том </w:t>
      </w:r>
      <w:proofErr w:type="gramStart"/>
      <w:r>
        <w:rPr>
          <w:color w:val="000000" w:themeColor="text1"/>
          <w:sz w:val="28"/>
          <w:szCs w:val="28"/>
        </w:rPr>
        <w:t>числе</w:t>
      </w:r>
      <w:proofErr w:type="gramEnd"/>
      <w:r>
        <w:rPr>
          <w:color w:val="000000" w:themeColor="text1"/>
          <w:sz w:val="28"/>
          <w:szCs w:val="28"/>
        </w:rPr>
        <w:t xml:space="preserve"> путем выявления правообладателей ранее учтенных объектов недвижимост</w:t>
      </w:r>
      <w:r>
        <w:rPr>
          <w:color w:val="000000" w:themeColor="text1"/>
          <w:sz w:val="28"/>
          <w:szCs w:val="28"/>
        </w:rPr>
        <w:t>и, права на которые не зарегистрированы в Едином государственном реестре недвижимости;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10) применение результатов государственной кадастровой оценки объектов недвижимости, проведенной в 2022, 202</w:t>
      </w:r>
      <w:r>
        <w:rPr>
          <w:sz w:val="28"/>
          <w:szCs w:val="28"/>
        </w:rPr>
        <w:t xml:space="preserve">3 годах, для целей налогообложения имущества и корректировка </w:t>
      </w:r>
      <w:r>
        <w:rPr>
          <w:sz w:val="28"/>
          <w:szCs w:val="28"/>
        </w:rPr>
        <w:t>ставок имущественных налогов в зависимости от изменения кадастровой стоимости;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sz w:val="28"/>
          <w:szCs w:val="28"/>
        </w:rPr>
        <w:t>11) установление определенного срока действия при введении новых региональных налоговых льгот и иных налоговых преимуществ;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sz w:val="28"/>
          <w:szCs w:val="28"/>
        </w:rPr>
        <w:t>12) осуществление оценки налоговых расходов Мурманско</w:t>
      </w:r>
      <w:r>
        <w:rPr>
          <w:sz w:val="28"/>
          <w:szCs w:val="28"/>
        </w:rPr>
        <w:t>й области, обусловленных предоставлением региональных налоговых льгот, включая оценку их целесообразности и результативности; принятие мер по недопущению неэффективных налоговых расходов;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13) совершенствование условий для привлечения инвестиций в экономику</w:t>
      </w:r>
      <w:r>
        <w:rPr>
          <w:sz w:val="28"/>
          <w:szCs w:val="28"/>
        </w:rPr>
        <w:t xml:space="preserve"> региона, в том числе механизмов государственной поддержки хозяйствующих субъектов, получивших статус резидентов территории опережающего развития «Столица Арктики», Арктической зоны Российской Федерации, в целях наращивания экономического потенциала и раск</w:t>
      </w:r>
      <w:r>
        <w:rPr>
          <w:sz w:val="28"/>
          <w:szCs w:val="28"/>
        </w:rPr>
        <w:t>рытия потенциала конкурентных преимуществ Мурманской области как субъекта Арктической зоны Российской Федерации, повышения деловой активности в макрорегионе;</w:t>
      </w:r>
      <w:proofErr w:type="gramEnd"/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14) регулирование механизма инвестиционного налогового вычета по налогу на прибыль организаций, в </w:t>
      </w:r>
      <w:r>
        <w:rPr>
          <w:color w:val="000000" w:themeColor="text1"/>
          <w:sz w:val="28"/>
          <w:szCs w:val="28"/>
        </w:rPr>
        <w:t>том числе в целях стимулирования привлечения инвестиций в экономику области при условии обеспечения определенных параметров бюджетной эффективности, создания условий для консолидации налоговой базы по налогу на прибыль организаций, а также вовлечения крупн</w:t>
      </w:r>
      <w:r>
        <w:rPr>
          <w:color w:val="000000" w:themeColor="text1"/>
          <w:sz w:val="28"/>
          <w:szCs w:val="28"/>
        </w:rPr>
        <w:t>ых и средних предприятий отдельных базовых несырьевых отраслей экономики в реализацию мероприятий по повышению производительности труда;</w:t>
      </w:r>
      <w:proofErr w:type="gramEnd"/>
    </w:p>
    <w:p w:rsidR="00C347D1" w:rsidRDefault="00E91D47">
      <w:pPr>
        <w:pStyle w:val="14"/>
        <w:widowControl w:val="0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15) регулирование </w:t>
      </w:r>
      <w:r>
        <w:rPr>
          <w:sz w:val="28"/>
          <w:szCs w:val="28"/>
        </w:rPr>
        <w:t xml:space="preserve">существующего механизма государственной </w:t>
      </w:r>
      <w:r>
        <w:rPr>
          <w:sz w:val="28"/>
          <w:szCs w:val="28"/>
        </w:rPr>
        <w:lastRenderedPageBreak/>
        <w:t xml:space="preserve">поддержки инвестиционной деятельности на территории Мурманской области; </w:t>
      </w:r>
    </w:p>
    <w:p w:rsidR="00C347D1" w:rsidRDefault="00E91D47">
      <w:pPr>
        <w:pStyle w:val="14"/>
        <w:widowControl w:val="0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16) применение механизма заключения специальных инвестиционных контрактов с инвесторами, реализующими инвестиционные проекты в сфере внедрения </w:t>
      </w:r>
      <w:r>
        <w:rPr>
          <w:rStyle w:val="s2"/>
          <w:sz w:val="28"/>
          <w:szCs w:val="28"/>
        </w:rPr>
        <w:t xml:space="preserve">или разработки технологий, направленные на укрепление технологического суверенитета; </w:t>
      </w:r>
    </w:p>
    <w:p w:rsidR="00C347D1" w:rsidRDefault="00E91D47">
      <w:pPr>
        <w:pStyle w:val="14"/>
        <w:widowControl w:val="0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17) </w:t>
      </w:r>
      <w:r>
        <w:rPr>
          <w:sz w:val="28"/>
          <w:szCs w:val="28"/>
        </w:rPr>
        <w:t>совершенствование механизмов налогового регулирования и стимулирования инвестиционной активности региональной экономики, в том числе для привлечения инвестиций в целях реализации инвестиционных проектов на условиях государственно-частного партнерства, муни</w:t>
      </w:r>
      <w:r>
        <w:rPr>
          <w:sz w:val="28"/>
          <w:szCs w:val="28"/>
        </w:rPr>
        <w:t>ципально-частного партнерства и концессий;</w:t>
      </w:r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18) содействие вовлечению новых хозяйствующих субъектов в малое и среднее предпринимательство, создание условий, способствующих развитию предпринимательской активности и легализации бизнеса самозанятых граждан; </w:t>
      </w:r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1</w:t>
      </w:r>
      <w:r>
        <w:rPr>
          <w:color w:val="000000" w:themeColor="text1"/>
          <w:sz w:val="28"/>
          <w:szCs w:val="28"/>
          <w:highlight w:val="white"/>
        </w:rPr>
        <w:t xml:space="preserve">9) совершенствование налогового законодательства в </w:t>
      </w:r>
      <w:proofErr w:type="gramStart"/>
      <w:r>
        <w:rPr>
          <w:color w:val="000000" w:themeColor="text1"/>
          <w:sz w:val="28"/>
          <w:szCs w:val="28"/>
          <w:highlight w:val="white"/>
        </w:rPr>
        <w:t>целях</w:t>
      </w:r>
      <w:proofErr w:type="gramEnd"/>
      <w:r>
        <w:rPr>
          <w:color w:val="000000" w:themeColor="text1"/>
          <w:sz w:val="28"/>
          <w:szCs w:val="28"/>
          <w:highlight w:val="white"/>
        </w:rPr>
        <w:t xml:space="preserve"> стимулирования и сохранения предпринимательской активности </w:t>
      </w:r>
      <w:r>
        <w:rPr>
          <w:rStyle w:val="s2"/>
          <w:rFonts w:eastAsia="Calibri"/>
          <w:color w:val="000000" w:themeColor="text1"/>
          <w:sz w:val="28"/>
          <w:szCs w:val="28"/>
          <w:highlight w:val="white"/>
        </w:rPr>
        <w:t>в приоритетных направлениях развития малого и среднего бизнеса;</w:t>
      </w:r>
    </w:p>
    <w:p w:rsidR="00C347D1" w:rsidRDefault="00E91D47">
      <w:pPr>
        <w:pStyle w:val="14"/>
        <w:widowControl w:val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20) разработка предложений по введению на территории Мурманской области тури</w:t>
      </w:r>
      <w:r>
        <w:rPr>
          <w:color w:val="000000" w:themeColor="text1"/>
          <w:sz w:val="28"/>
          <w:szCs w:val="28"/>
          <w:highlight w:val="white"/>
        </w:rPr>
        <w:t xml:space="preserve">стического налога, в том </w:t>
      </w:r>
      <w:proofErr w:type="gramStart"/>
      <w:r>
        <w:rPr>
          <w:color w:val="000000" w:themeColor="text1"/>
          <w:sz w:val="28"/>
          <w:szCs w:val="28"/>
          <w:highlight w:val="white"/>
        </w:rPr>
        <w:t>числе</w:t>
      </w:r>
      <w:proofErr w:type="gramEnd"/>
      <w:r>
        <w:rPr>
          <w:color w:val="000000" w:themeColor="text1"/>
          <w:sz w:val="28"/>
          <w:szCs w:val="28"/>
          <w:highlight w:val="white"/>
        </w:rPr>
        <w:t xml:space="preserve"> для развития туристической инфраструктуры, других приоритетных направлений.</w:t>
      </w:r>
    </w:p>
    <w:p w:rsidR="00C347D1" w:rsidRDefault="00C347D1">
      <w:pPr>
        <w:pStyle w:val="14"/>
        <w:widowControl w:val="0"/>
        <w:rPr>
          <w:color w:val="000000" w:themeColor="text1"/>
          <w:sz w:val="28"/>
          <w:szCs w:val="28"/>
          <w:highlight w:val="white"/>
        </w:rPr>
      </w:pPr>
    </w:p>
    <w:p w:rsidR="00C347D1" w:rsidRDefault="00E91D47">
      <w:pPr>
        <w:pStyle w:val="14"/>
        <w:widowControl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C347D1">
      <w:headerReference w:type="even" r:id="rId9"/>
      <w:headerReference w:type="default" r:id="rId10"/>
      <w:pgSz w:w="11906" w:h="16838"/>
      <w:pgMar w:top="1134" w:right="680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D47" w:rsidRDefault="00E91D47">
      <w:r>
        <w:separator/>
      </w:r>
    </w:p>
  </w:endnote>
  <w:endnote w:type="continuationSeparator" w:id="0">
    <w:p w:rsidR="00E91D47" w:rsidRDefault="00E9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D47" w:rsidRDefault="00E91D47">
      <w:r>
        <w:separator/>
      </w:r>
    </w:p>
  </w:footnote>
  <w:footnote w:type="continuationSeparator" w:id="0">
    <w:p w:rsidR="00E91D47" w:rsidRDefault="00E91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D1" w:rsidRDefault="00E91D47">
    <w:pPr>
      <w:pStyle w:val="14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347D1" w:rsidRDefault="00C347D1">
    <w:pPr>
      <w:pStyle w:val="14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D1" w:rsidRDefault="00E91D47">
    <w:pPr>
      <w:pStyle w:val="14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F0C46">
      <w:rPr>
        <w:noProof/>
        <w:color w:val="000000"/>
      </w:rPr>
      <w:t>5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44643"/>
    <w:multiLevelType w:val="hybridMultilevel"/>
    <w:tmpl w:val="8488E738"/>
    <w:lvl w:ilvl="0" w:tplc="13D2D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7E5C3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87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04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2E9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148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66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5434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0B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E62F0"/>
    <w:multiLevelType w:val="hybridMultilevel"/>
    <w:tmpl w:val="9838006C"/>
    <w:lvl w:ilvl="0" w:tplc="7CF2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04EFA2">
      <w:start w:val="1"/>
      <w:numFmt w:val="lowerLetter"/>
      <w:lvlText w:val="%2."/>
      <w:lvlJc w:val="left"/>
      <w:pPr>
        <w:ind w:left="1440" w:hanging="360"/>
      </w:pPr>
    </w:lvl>
    <w:lvl w:ilvl="2" w:tplc="DC3445E0">
      <w:start w:val="1"/>
      <w:numFmt w:val="lowerRoman"/>
      <w:lvlText w:val="%3."/>
      <w:lvlJc w:val="right"/>
      <w:pPr>
        <w:ind w:left="2160" w:hanging="180"/>
      </w:pPr>
    </w:lvl>
    <w:lvl w:ilvl="3" w:tplc="1F16084C">
      <w:start w:val="1"/>
      <w:numFmt w:val="decimal"/>
      <w:lvlText w:val="%4."/>
      <w:lvlJc w:val="left"/>
      <w:pPr>
        <w:ind w:left="2880" w:hanging="360"/>
      </w:pPr>
    </w:lvl>
    <w:lvl w:ilvl="4" w:tplc="AC50106C">
      <w:start w:val="1"/>
      <w:numFmt w:val="lowerLetter"/>
      <w:lvlText w:val="%5."/>
      <w:lvlJc w:val="left"/>
      <w:pPr>
        <w:ind w:left="3600" w:hanging="360"/>
      </w:pPr>
    </w:lvl>
    <w:lvl w:ilvl="5" w:tplc="4E14B2EA">
      <w:start w:val="1"/>
      <w:numFmt w:val="lowerRoman"/>
      <w:lvlText w:val="%6."/>
      <w:lvlJc w:val="right"/>
      <w:pPr>
        <w:ind w:left="4320" w:hanging="180"/>
      </w:pPr>
    </w:lvl>
    <w:lvl w:ilvl="6" w:tplc="3D847620">
      <w:start w:val="1"/>
      <w:numFmt w:val="decimal"/>
      <w:lvlText w:val="%7."/>
      <w:lvlJc w:val="left"/>
      <w:pPr>
        <w:ind w:left="5040" w:hanging="360"/>
      </w:pPr>
    </w:lvl>
    <w:lvl w:ilvl="7" w:tplc="20EE91A0">
      <w:start w:val="1"/>
      <w:numFmt w:val="lowerLetter"/>
      <w:lvlText w:val="%8."/>
      <w:lvlJc w:val="left"/>
      <w:pPr>
        <w:ind w:left="5760" w:hanging="360"/>
      </w:pPr>
    </w:lvl>
    <w:lvl w:ilvl="8" w:tplc="2F7883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D1"/>
    <w:rsid w:val="001F0C46"/>
    <w:rsid w:val="00C347D1"/>
    <w:rsid w:val="00E91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No Spacing"/>
    <w:uiPriority w:val="1"/>
    <w:qFormat/>
  </w:style>
  <w:style w:type="character" w:customStyle="1" w:styleId="a7">
    <w:name w:val="Название Знак"/>
    <w:basedOn w:val="a0"/>
    <w:link w:val="a8"/>
    <w:uiPriority w:val="10"/>
    <w:rPr>
      <w:sz w:val="48"/>
      <w:szCs w:val="48"/>
    </w:rPr>
  </w:style>
  <w:style w:type="character" w:customStyle="1" w:styleId="a9">
    <w:name w:val="Подзаголовок Знак"/>
    <w:basedOn w:val="a0"/>
    <w:link w:val="aa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14"/>
    <w:next w:val="14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4"/>
    <w:next w:val="14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4"/>
    <w:next w:val="14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4"/>
    <w:next w:val="14"/>
    <w:link w:val="Heading4Char"/>
    <w:pPr>
      <w:keepNext/>
      <w:keepLines/>
      <w:spacing w:before="240" w:after="40"/>
      <w:outlineLvl w:val="3"/>
    </w:pPr>
    <w:rPr>
      <w:b/>
    </w:rPr>
  </w:style>
  <w:style w:type="paragraph" w:customStyle="1" w:styleId="51">
    <w:name w:val="Заголовок 51"/>
    <w:basedOn w:val="14"/>
    <w:next w:val="14"/>
    <w:link w:val="Heading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61">
    <w:name w:val="Заголовок 61"/>
    <w:basedOn w:val="14"/>
    <w:next w:val="14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4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14"/>
    <w:next w:val="14"/>
    <w:link w:val="a7"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Subtitle"/>
    <w:basedOn w:val="14"/>
    <w:next w:val="14"/>
    <w:link w:val="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5">
    <w:name w:val="Нижний колонтитул1"/>
    <w:basedOn w:val="a"/>
    <w:link w:val="af7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5"/>
    <w:uiPriority w:val="99"/>
    <w:semiHidden/>
  </w:style>
  <w:style w:type="paragraph" w:customStyle="1" w:styleId="16">
    <w:name w:val="Верхний колонтитул1"/>
    <w:basedOn w:val="a"/>
    <w:link w:val="af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16"/>
    <w:uiPriority w:val="99"/>
    <w:semiHidden/>
  </w:style>
  <w:style w:type="paragraph" w:customStyle="1" w:styleId="17">
    <w:name w:val="Обычный1"/>
  </w:style>
  <w:style w:type="character" w:customStyle="1" w:styleId="s2">
    <w:name w:val="s2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  <w:ind w:firstLine="0"/>
      <w:jc w:val="left"/>
    </w:pPr>
    <w:rPr>
      <w:rFonts w:eastAsia="Calibri"/>
      <w:szCs w:val="16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rPr>
      <w:rFonts w:eastAsia="Calibri"/>
      <w:szCs w:val="16"/>
      <w:lang w:eastAsia="en-US"/>
    </w:rPr>
  </w:style>
  <w:style w:type="paragraph" w:customStyle="1" w:styleId="Default">
    <w:name w:val="Default"/>
    <w:pPr>
      <w:ind w:firstLine="0"/>
      <w:jc w:val="left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6AA6-D7AC-4D15-9DCE-7A6F3512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1630</Words>
  <Characters>9294</Characters>
  <Application>Microsoft Office Word</Application>
  <DocSecurity>0</DocSecurity>
  <Lines>77</Lines>
  <Paragraphs>21</Paragraphs>
  <ScaleCrop>false</ScaleCrop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Войнило И.Е.</cp:lastModifiedBy>
  <cp:revision>13</cp:revision>
  <dcterms:created xsi:type="dcterms:W3CDTF">2024-10-04T15:57:00Z</dcterms:created>
  <dcterms:modified xsi:type="dcterms:W3CDTF">2024-10-30T11:56:00Z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{CABF1D15-A476-4684-A4BF-5412AB2B653C}</vt:lpwstr>
  </property>
  <property fmtid="{D5CDD505-2E9C-101B-9397-08002B2CF9AE}" pid="3" name="#RegDocId">
    <vt:lpwstr>Вн. Постановление Правительства № 720-ПП от 29.10.2024</vt:lpwstr>
  </property>
  <property fmtid="{D5CDD505-2E9C-101B-9397-08002B2CF9AE}" pid="4" name="FileDocId">
    <vt:lpwstr>{C5A62F6E-A286-4DD1-A648-A8799B235873}</vt:lpwstr>
  </property>
  <property fmtid="{D5CDD505-2E9C-101B-9397-08002B2CF9AE}" pid="5" name="#FileDocId">
    <vt:lpwstr>ОННП_ 2025-2027+.docx</vt:lpwstr>
  </property>
</Properties>
</file>